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bae1fbb754776" /></Relationships>
</file>

<file path=word/document.xml><?xml version="1.0" encoding="utf-8"?>
<w:document xmlns:w="http://schemas.openxmlformats.org/wordprocessingml/2006/main">
  <w:body>
    <w:p>
      <w:r>
        <w:rPr>
          <w:b/>
        </w:rPr>
        <w:r>
          <w:rPr/>
          <w:t xml:space="preserve">6489-S</w:t>
        </w:r>
      </w:r>
      <w:r>
        <w:rPr>
          <w:b/>
        </w:rPr>
        <w:t xml:space="preserve"> </w:t>
        <w:t xml:space="preserve">AMS</w:t>
      </w:r>
      <w:r>
        <w:rPr>
          <w:b/>
        </w:rPr>
        <w:t xml:space="preserve"> </w:t>
        <w:r>
          <w:rPr/>
          <w:t xml:space="preserve">SALD</w:t>
        </w:r>
      </w:r>
      <w:r>
        <w:rPr>
          <w:b/>
        </w:rPr>
        <w:t xml:space="preserve"> </w:t>
        <w:r>
          <w:rPr/>
          <w:t xml:space="preserve">S5187.1</w:t>
        </w:r>
      </w:r>
      <w:r>
        <w:rPr>
          <w:b/>
        </w:rPr>
        <w:t xml:space="preserve"> - NOT FOR FLOOR USE</w:t>
      </w:r>
    </w:p>
    <w:p>
      <w:pPr>
        <w:ind w:left="0" w:right="0" w:firstLine="576"/>
      </w:pPr>
    </w:p>
    <w:p>
      <w:pPr>
        <w:spacing w:before="480" w:after="0" w:line="408" w:lineRule="exact"/>
      </w:pPr>
      <w:r>
        <w:rPr>
          <w:b/>
          <w:u w:val="single"/>
        </w:rPr>
        <w:t xml:space="preserve">SSB 6489</w:t>
      </w:r>
      <w:r>
        <w:t xml:space="preserve"> -</w:t>
      </w:r>
      <w:r>
        <w:t xml:space="preserve"> </w:t>
        <w:t xml:space="preserve">S AMD</w:t>
      </w:r>
      <w:r>
        <w:t xml:space="preserve"> </w:t>
      </w:r>
      <w:r>
        <w:rPr>
          <w:b/>
        </w:rPr>
        <w:t xml:space="preserve">596</w:t>
      </w:r>
    </w:p>
    <w:p>
      <w:pPr>
        <w:spacing w:before="0" w:after="0" w:line="408" w:lineRule="exact"/>
        <w:ind w:left="0" w:right="0" w:firstLine="576"/>
        <w:jc w:val="left"/>
      </w:pPr>
      <w:r>
        <w:rPr/>
        <w:t xml:space="preserve">By Senator Saldaña</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2017 c 25 s 2 and 2017 c 11 s 3 are each reenacted and amended to read as follows:</w:t>
      </w:r>
    </w:p>
    <w:p>
      <w:pPr>
        <w:spacing w:before="0" w:after="120" w:line="408" w:lineRule="exact"/>
        <w:ind w:left="0" w:right="0" w:firstLine="576"/>
        <w:jc w:val="left"/>
      </w:pPr>
      <w:r>
        <w:t>((</w:t>
      </w:r>
      <w:r>
        <w:rPr>
          <w:strike/>
        </w:rPr>
        <w:t xml:space="preserve">(1)</w:t>
      </w:r>
      <w:r>
        <w:t>))</w:t>
      </w:r>
      <w:r>
        <w:rPr/>
        <w:t xml:space="preserve">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w:t>
            </w:r>
            <w:r>
              <w:t>))</w:t>
            </w:r>
            <w:r>
              <w:rPr>
                <w:rFonts w:ascii="Times New Roman" w:hAnsi="Times New Roman"/>
                <w:sz w:val="16"/>
              </w:rPr>
              <w:t xml:space="preserve"> </w:t>
            </w:r>
            <w:r>
              <w:rPr>
                <w:rFonts w:ascii="Times New Roman" w:hAnsi="Times New Roman"/>
                <w:sz w:val="16"/>
                <w:u w:val="single"/>
              </w:rPr>
              <w:t xml:space="preserve">(1)</w:t>
            </w:r>
            <w:r>
              <w:rPr>
                <w:rFonts w:ascii="Times New Roman" w:hAnsi="Times New Roman"/>
                <w:sz w:val="16"/>
              </w:rPr>
              <w:t xml:space="preserve">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w:t>
            </w:r>
            <w:r>
              <w:t>))</w:t>
            </w:r>
            <w:r>
              <w:rPr>
                <w:rFonts w:ascii="Times New Roman" w:hAnsi="Times New Roman"/>
                <w:sz w:val="16"/>
              </w:rPr>
              <w:t xml:space="preserve"> </w:t>
            </w:r>
            <w:r>
              <w:rPr>
                <w:rFonts w:ascii="Times New Roman" w:hAnsi="Times New Roman"/>
                <w:sz w:val="16"/>
                <w:u w:val="single"/>
              </w:rPr>
              <w:t xml:space="preserve">(2)</w:t>
            </w:r>
            <w:r>
              <w:rPr>
                <w:rFonts w:ascii="Times New Roman" w:hAnsi="Times New Roman"/>
                <w:sz w:val="16"/>
              </w:rPr>
              <w:t xml:space="preserve">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w:t>
            </w:r>
            <w:r>
              <w:t>))</w:t>
            </w:r>
            <w:r>
              <w:rPr>
                <w:rFonts w:ascii="Times New Roman" w:hAnsi="Times New Roman"/>
                <w:sz w:val="16"/>
              </w:rPr>
              <w:t xml:space="preserve"> </w:t>
            </w:r>
            <w:r>
              <w:rPr>
                <w:rFonts w:ascii="Times New Roman" w:hAnsi="Times New Roman"/>
                <w:sz w:val="16"/>
                <w:u w:val="single"/>
              </w:rPr>
              <w:t xml:space="preserve">(3)</w:t>
            </w:r>
            <w:r>
              <w:rPr>
                <w:rFonts w:ascii="Times New Roman" w:hAnsi="Times New Roman"/>
                <w:sz w:val="16"/>
              </w:rPr>
              <w:t xml:space="preserve">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trike/>
                <w:sz w:val="16"/>
              </w:rPr>
              <w:t xml:space="preserve">(e)</w:t>
            </w:r>
            <w:r>
              <w:t>))</w:t>
            </w:r>
            <w:r>
              <w:rPr>
                <w:rFonts w:ascii="Times New Roman" w:hAnsi="Times New Roman"/>
                <w:sz w:val="16"/>
              </w:rPr>
              <w:t xml:space="preserve"> </w:t>
            </w:r>
            <w:r>
              <w:rPr>
                <w:rFonts w:ascii="Times New Roman" w:hAnsi="Times New Roman"/>
                <w:sz w:val="16"/>
                <w:u w:val="single"/>
              </w:rPr>
              <w:t xml:space="preserve">(4)</w:t>
            </w:r>
            <w:r>
              <w:rPr>
                <w:rFonts w:ascii="Times New Roman" w:hAnsi="Times New Roman"/>
                <w:sz w:val="16"/>
              </w:rPr>
              <w:t xml:space="preserv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w:t>
            </w:r>
            <w:r>
              <w:t>))</w:t>
            </w:r>
            <w:r>
              <w:rPr>
                <w:rFonts w:ascii="Times New Roman" w:hAnsi="Times New Roman"/>
                <w:sz w:val="16"/>
              </w:rPr>
              <w:t xml:space="preserve"> </w:t>
            </w:r>
            <w:r>
              <w:rPr>
                <w:rFonts w:ascii="Times New Roman" w:hAnsi="Times New Roman"/>
                <w:sz w:val="16"/>
                <w:u w:val="single"/>
              </w:rPr>
              <w:t xml:space="preserve">(5)</w:t>
            </w:r>
            <w:r>
              <w:rPr>
                <w:rFonts w:ascii="Times New Roman" w:hAnsi="Times New Roman"/>
                <w:sz w:val="16"/>
              </w:rPr>
              <w:t xml:space="preserve">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w:t>
            </w:r>
            <w:r>
              <w:t>))</w:t>
            </w:r>
            <w:r>
              <w:rPr>
                <w:rFonts w:ascii="Times New Roman" w:hAnsi="Times New Roman"/>
                <w:sz w:val="16"/>
              </w:rPr>
              <w:t xml:space="preserve"> </w:t>
            </w:r>
            <w:r>
              <w:rPr>
                <w:rFonts w:ascii="Times New Roman" w:hAnsi="Times New Roman"/>
                <w:sz w:val="16"/>
                <w:u w:val="single"/>
              </w:rPr>
              <w:t xml:space="preserve">(6)</w:t>
            </w:r>
            <w:r>
              <w:rPr>
                <w:rFonts w:ascii="Times New Roman" w:hAnsi="Times New Roman"/>
                <w:sz w:val="16"/>
              </w:rPr>
              <w:t xml:space="preserve">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w:t>
            </w:r>
            <w:r>
              <w:t>))</w:t>
            </w:r>
            <w:r>
              <w:rPr>
                <w:rFonts w:ascii="Times New Roman" w:hAnsi="Times New Roman"/>
                <w:sz w:val="16"/>
              </w:rPr>
              <w:t xml:space="preserve"> </w:t>
            </w:r>
            <w:r>
              <w:rPr>
                <w:rFonts w:ascii="Times New Roman" w:hAnsi="Times New Roman"/>
                <w:sz w:val="16"/>
                <w:u w:val="single"/>
              </w:rPr>
              <w:t xml:space="preserve">(7)</w:t>
            </w:r>
            <w:r>
              <w:rPr>
                <w:rFonts w:ascii="Times New Roman" w:hAnsi="Times New Roman"/>
                <w:sz w:val="16"/>
              </w:rPr>
              <w:t xml:space="preserve">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w:t>
            </w:r>
            <w:r>
              <w:t>))</w:t>
            </w:r>
            <w:r>
              <w:rPr>
                <w:rFonts w:ascii="Times New Roman" w:hAnsi="Times New Roman"/>
                <w:sz w:val="16"/>
              </w:rPr>
              <w:t xml:space="preserve"> </w:t>
            </w:r>
            <w:r>
              <w:rPr>
                <w:rFonts w:ascii="Times New Roman" w:hAnsi="Times New Roman"/>
                <w:sz w:val="16"/>
                <w:u w:val="single"/>
              </w:rPr>
              <w:t xml:space="preserve">(8)</w:t>
            </w:r>
            <w:r>
              <w:rPr>
                <w:rFonts w:ascii="Times New Roman" w:hAnsi="Times New Roman"/>
                <w:sz w:val="16"/>
              </w:rPr>
              <w:t xml:space="preserve"> Fred Hutch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(9)</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(10)</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(11)</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(12)</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(13)</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(14)</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(15)</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 Purple Heart</w:t>
            </w:r>
          </w:p>
        </w:tc>
        <w:tc>
          <w:tcPr>
            <w:tcW w:w="740" w:type="dxa"/>
            <w:vAlign w:val="top"/>
          </w:tcPr>
          <w:p>
            <w:pPr>
              <w:spacing w:before="0" w:after="0" w:line="408" w:lineRule="exact"/>
              <w:ind w:left="0" w:right="0" w:firstLine="0"/>
              <w:jc w:val="center"/>
            </w:pPr>
            <w:r>
              <w:rPr>
                <w:rFonts w:ascii="Times New Roman" w:hAnsi="Times New Roman"/>
                <w:strike/>
                <w:sz w:val="16"/>
              </w:rPr>
              <w:t xml:space="preserve">$ 40.00</w:t>
            </w:r>
          </w:p>
        </w:tc>
        <w:tc>
          <w:tcPr>
            <w:tcW w:w="880" w:type="dxa"/>
            <w:vAlign w:val="top"/>
          </w:tcPr>
          <w:p>
            <w:pPr>
              <w:spacing w:before="0" w:after="0" w:line="408" w:lineRule="exact"/>
              <w:ind w:left="0" w:right="0" w:firstLine="0"/>
              <w:jc w:val="center"/>
            </w:pPr>
            <w:r>
              <w:rPr>
                <w:rFonts w:ascii="Times New Roman" w:hAnsi="Times New Roman"/>
                <w:strike/>
                <w:sz w:val="16"/>
              </w:rPr>
              <w:t xml:space="preserve">$ 30.00</w:t>
            </w:r>
          </w:p>
        </w:tc>
        <w:tc>
          <w:tcPr>
            <w:tcW w:w="1400" w:type="dxa"/>
            <w:vAlign w:val="top"/>
          </w:tcPr>
          <w:p>
            <w:pPr>
              <w:spacing w:before="0" w:after="0" w:line="408" w:lineRule="exact"/>
              <w:ind w:left="0" w:right="0" w:firstLine="0"/>
              <w:jc w:val="left"/>
            </w:pPr>
            <w:r>
              <w:rPr>
                <w:rFonts w:ascii="Times New Roman" w:hAnsi="Times New Roman"/>
                <w:strike/>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(16)</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(17) Purple Heart</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(18)</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(19) Seattle Mariners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 </w:t>
            </w:r>
            <w:r>
              <w:rPr>
                <w:rFonts w:ascii="Times New Roman" w:hAnsi="Times New Roman"/>
                <w:sz w:val="16"/>
                <w:u w:val="single"/>
              </w:rPr>
              <w:t xml:space="preserve">(20)</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(21)</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(22)</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(23)</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(24)</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(25)</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(26)</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(27)</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(28)</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(29)</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(30)</w:t>
            </w:r>
            <w:r>
              <w:rPr>
                <w:rFonts w:ascii="Times New Roman" w:hAnsi="Times New Roman"/>
                <w:sz w:val="16"/>
              </w:rPr>
              <w:t xml:space="preserve"> Washington state aviation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(31)</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(32)</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(33)</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(34)</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(35)</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(36)</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(kk)</w:t>
            </w:r>
            <w:r>
              <w:t>))</w:t>
            </w:r>
            <w:r>
              <w:rPr>
                <w:rFonts w:ascii="Times New Roman" w:hAnsi="Times New Roman"/>
                <w:sz w:val="16"/>
              </w:rPr>
              <w:t xml:space="preserve"> </w:t>
            </w:r>
            <w:r>
              <w:rPr>
                <w:rFonts w:ascii="Times New Roman" w:hAnsi="Times New Roman"/>
                <w:sz w:val="16"/>
                <w:u w:val="single"/>
              </w:rPr>
              <w:t xml:space="preserve">(37)</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(ll)</w:t>
            </w:r>
            <w:r>
              <w:t>))</w:t>
            </w:r>
            <w:r>
              <w:rPr>
                <w:rFonts w:ascii="Times New Roman" w:hAnsi="Times New Roman"/>
                <w:sz w:val="16"/>
              </w:rPr>
              <w:t xml:space="preserve"> </w:t>
            </w:r>
            <w:r>
              <w:rPr>
                <w:rFonts w:ascii="Times New Roman" w:hAnsi="Times New Roman"/>
                <w:sz w:val="16"/>
                <w:u w:val="single"/>
              </w:rPr>
              <w:t xml:space="preserve">(38)</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t>((</w:t>
      </w:r>
      <w:r>
        <w:rPr>
          <w:strike/>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2017 c 25 s 1 and 2017 c 11 s 2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"Seattle Mariners"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t>((</w:t>
            </w:r>
            <w:r>
              <w:rPr>
                <w:rFonts w:ascii="Times New Roman" w:hAnsi="Times New Roman"/>
                <w:strike/>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trike/>
                <w:sz w:val="16"/>
              </w:rPr>
              <w:t xml:space="preserve">Recognizes Washington's fish.</w:t>
            </w:r>
            <w:r>
              <w:t>))</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2017 c 25 s 3 and 2017 c 11 s 4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Seattle Mariners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academic, innovation, and mentoring grant account created in section 4 of this act</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t>((</w:t>
            </w:r>
            <w:r>
              <w:rPr>
                <w:rFonts w:ascii="Times New Roman" w:hAnsi="Times New Roman"/>
                <w:strike/>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trike/>
                <w:sz w:val="16"/>
              </w:rPr>
              <w:t xml:space="preserve">Receive and disseminate funds for charitable purposes on behalf of members of the Washington state council of firefighters, their families, and others deemed in need</w:t>
            </w:r>
            <w:r>
              <w:t>))</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ACADEMIC, INNOVATION, AND MENTORING GRANT ACCOUNT.</w:t>
      </w:r>
    </w:p>
    <w:p>
      <w:pPr>
        <w:spacing w:before="0" w:after="0" w:line="408" w:lineRule="exact"/>
        <w:ind w:left="0" w:right="0" w:firstLine="576"/>
        <w:jc w:val="left"/>
      </w:pPr>
      <w:r>
        <w:rPr/>
        <w:t xml:space="preserve">The academic, innovation, and mentoring grant account is created in the state treasury. All receipts from the special license plate fees in this act must be deposited into the account. Moneys in the account may be spent only after appropriation. Moneys in the account may only be used for grants to support youth to stay in school and receive mentorships.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215</w:t>
      </w:r>
      <w:r>
        <w:rPr/>
        <w:t xml:space="preserve"> (Baseball stadium license plates) and 2011 c 332 s 3, 2010 c 161 s 614, 1997 c 291 s 5, 1995 3rd sp.s. c 1 s 102, 1994 c 194 s 2, &amp; 1990 c 250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480" w:after="0" w:line="408" w:lineRule="exact"/>
      </w:pPr>
      <w:r>
        <w:rPr>
          <w:b/>
          <w:u w:val="single"/>
        </w:rPr>
        <w:t xml:space="preserve">SSB 6489</w:t>
      </w:r>
      <w:r>
        <w:t xml:space="preserve"> -</w:t>
      </w:r>
      <w:r>
        <w:t xml:space="preserve"> </w:t>
        <w:t xml:space="preserve">S AMD</w:t>
      </w:r>
      <w:r>
        <w:t xml:space="preserve"> </w:t>
      </w:r>
      <w:r>
        <w:rPr>
          <w:b/>
        </w:rPr>
        <w:t xml:space="preserve">596</w:t>
      </w:r>
    </w:p>
    <w:p>
      <w:pPr>
        <w:spacing w:before="0" w:after="0" w:line="408" w:lineRule="exact"/>
        <w:ind w:left="0" w:right="0" w:firstLine="576"/>
        <w:jc w:val="left"/>
      </w:pPr>
      <w:r>
        <w:rPr/>
        <w:t xml:space="preserve">By Senator Saldaña</w:t>
      </w:r>
    </w:p>
    <w:p>
      <w:pPr>
        <w:jc w:val="right"/>
      </w:pPr>
    </w:p>
    <w:p>
      <w:pPr>
        <w:spacing w:before="0" w:after="0" w:line="408" w:lineRule="exact"/>
        <w:ind w:left="0" w:right="0" w:firstLine="576"/>
        <w:jc w:val="left"/>
      </w:pPr>
      <w:r>
        <w:rPr/>
        <w:t xml:space="preserve">On page 1, line 2 of the title, after "plate;" strike the remainder of the title and insert "reenacting and amending RCW 46.17.220, 46.18.200, and 46.68.420; adding a new section to chapter 28A.300 RCW; repealing RCW 46.18.215; and providing an effective date."</w:t>
      </w:r>
    </w:p>
    <w:p>
      <w:pPr>
        <w:spacing w:before="0" w:after="0" w:line="408" w:lineRule="exact"/>
        <w:ind w:left="0" w:right="0" w:firstLine="576"/>
        <w:jc w:val="left"/>
      </w:pPr>
      <w:r>
        <w:rPr>
          <w:u w:val="single"/>
        </w:rPr>
        <w:t xml:space="preserve">EFFECT:</w:t>
      </w:r>
      <w:r>
        <w:rPr/>
        <w:t xml:space="preserve"> Changes the name of the academic, mentoring, and innovation grant account to the academic, innovation, and mentoring grant account to align with the existing program that is administered by the Office of the Superintendent of Public Instruction. Removes participating in sports as an allowable grant use from the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ee19152a4c4f25" /></Relationships>
</file>