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52264a62148e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8204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S1976.2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SJR 8204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  <w:r>
        <w:rPr>
          <w:b/>
        </w:rPr>
        <w:t xml:space="preserve">NOT ADOPTED 03/07/2017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9, after "</w:t>
      </w:r>
      <w:r>
        <w:rPr>
          <w:u w:val="single"/>
        </w:rPr>
        <w:t xml:space="preserve">2017</w:t>
      </w:r>
      <w:r>
        <w:rPr/>
        <w:t xml:space="preserve">" insert "</w:t>
      </w:r>
      <w:r>
        <w:rPr>
          <w:u w:val="single"/>
        </w:rPr>
        <w:t xml:space="preserve">, except that no new business and occupation tax preference may be enacted by the legislature unless approved by a two-thirds vote in both the senate and the house of representatives. For the purposes of this subsection (c):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"Business and occupation tax" means a tax on the gross receipts of a business operating in Washington, as a measure of the privilege of engaging in business. The term "gross receipts" means gross income, gross sales, or the value of products, whichever is applicable to a particular business.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"Business and occupation tax preference" means an exemption, exclusion, or deduction from the base of a state business and occupation tax; a credit against a state business and occupation tax; a deferral of a state business and occupation tax; or a preferential state business and occupation tax rate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business and occupation tax preference cannot be enacted by the legislature without a two-thirds majority vote.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87ff80fc34043" /></Relationships>
</file>