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fcf5fd30e43a5" /></Relationships>
</file>

<file path=word/document.xml><?xml version="1.0" encoding="utf-8"?>
<w:document xmlns:w="http://schemas.openxmlformats.org/wordprocessingml/2006/main">
  <w:body>
    <w:p>
      <w:r>
        <w:t>H-0439.1</w:t>
      </w:r>
    </w:p>
    <w:p>
      <w:pPr>
        <w:jc w:val="center"/>
      </w:pPr>
      <w:r>
        <w:t>_______________________________________________</w:t>
      </w:r>
    </w:p>
    <w:p/>
    <w:p>
      <w:pPr>
        <w:jc w:val="center"/>
      </w:pPr>
      <w:r>
        <w:rPr>
          <w:b/>
        </w:rPr>
        <w:t>HOUSE BILL 1009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Short, McCaslin, Pike, Buys, Haler, and Young</w:t>
      </w:r>
    </w:p>
    <w:p/>
    <w:p>
      <w:r>
        <w:rPr>
          <w:t xml:space="preserve">Prefiled 12/05/16.</w:t>
        </w:rPr>
      </w:r>
      <w:r>
        <w:rPr>
          <w:t xml:space="preserve">Read first time 01/09/17.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the authority to mitigate environmental impacts under the state environmental policy act applies only to significant adverse environmental impacts; and amending RCW 43.21C.060.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060</w:t>
      </w:r>
      <w:r>
        <w:rPr/>
        <w:t xml:space="preserve"> and 1983 c 117 s 3 are each amended to read as follows:</w:t>
      </w:r>
    </w:p>
    <w:p>
      <w:pPr>
        <w:spacing w:before="0" w:after="0" w:line="408" w:lineRule="exact"/>
        <w:ind w:left="0" w:right="0" w:firstLine="576"/>
        <w:jc w:val="left"/>
      </w:pPr>
      <w:r>
        <w:rPr>
          <w:u w:val="single"/>
        </w:rPr>
        <w:t xml:space="preserve">(1)</w:t>
      </w:r>
      <w:r>
        <w:rPr/>
        <w:t xml:space="preserve"> The policies and goals set forth in this chapter are supplementary to those set forth in existing authorizations of all branches of government of this state, including state agencies, municipal and public corporations, and counties. Any governmental action may be conditioned or denied pursuant to this chapter</w:t>
      </w:r>
      <w:r>
        <w:t>((</w:t>
      </w:r>
      <w:r>
        <w:rPr>
          <w:strike/>
        </w:rPr>
        <w:t xml:space="preserve">: PROVIDED, That such</w:t>
      </w:r>
      <w:r>
        <w:t>))</w:t>
      </w:r>
      <w:r>
        <w:rPr>
          <w:u w:val="single"/>
        </w:rPr>
        <w:t xml:space="preserve">.</w:t>
      </w:r>
    </w:p>
    <w:p>
      <w:pPr>
        <w:spacing w:before="0" w:after="0" w:line="408" w:lineRule="exact"/>
        <w:ind w:left="0" w:right="0" w:firstLine="576"/>
        <w:jc w:val="left"/>
      </w:pPr>
      <w:r>
        <w:rPr>
          <w:u w:val="single"/>
        </w:rPr>
        <w:t xml:space="preserve">(2) C</w:t>
      </w:r>
      <w:r>
        <w:rPr/>
        <w:t xml:space="preserve">onditions or denials </w:t>
      </w:r>
      <w:r>
        <w:rPr>
          <w:u w:val="single"/>
        </w:rPr>
        <w:t xml:space="preserve">under subsection (1) of this section</w:t>
      </w:r>
      <w:r>
        <w:rPr/>
        <w:t xml:space="preserve"> shall be based upon policies identified by the appropriate governmental authority and incorporated into regulations, plans, or codes which are formally designated by the agency </w:t>
      </w:r>
      <w:r>
        <w:t>((</w:t>
      </w:r>
      <w:r>
        <w:rPr>
          <w:strike/>
        </w:rPr>
        <w:t xml:space="preserve">(</w:t>
      </w:r>
      <w:r>
        <w:t>))</w:t>
      </w:r>
      <w:r>
        <w:rPr/>
        <w:t xml:space="preserve">or appropriate </w:t>
      </w:r>
      <w:r>
        <w:rPr>
          <w:u w:val="single"/>
        </w:rPr>
        <w:t xml:space="preserve">local government</w:t>
      </w:r>
      <w:r>
        <w:rPr/>
        <w:t xml:space="preserve"> legislative body</w:t>
      </w:r>
      <w:r>
        <w:t>((</w:t>
      </w:r>
      <w:r>
        <w:rPr>
          <w:strike/>
        </w:rPr>
        <w:t xml:space="preserve">, in the case of local government)</w:t>
      </w:r>
      <w:r>
        <w:t>))</w:t>
      </w:r>
      <w:r>
        <w:rPr/>
        <w:t xml:space="preserve"> as possible bases for the exercise of authority pursuant to this chapter. </w:t>
      </w:r>
      <w:r>
        <w:t>((</w:t>
      </w:r>
      <w:r>
        <w:rPr>
          <w:strike/>
        </w:rPr>
        <w:t xml:space="preserve">Such designation shall occur at the time specified by RCW 43.21C.120. Such</w:t>
      </w:r>
      <w:r>
        <w:t>))</w:t>
      </w:r>
      <w:r>
        <w:rPr/>
        <w:t xml:space="preserve"> </w:t>
      </w:r>
      <w:r>
        <w:rPr>
          <w:u w:val="single"/>
        </w:rPr>
        <w:t xml:space="preserve">The designation by the legislative body of a local government or an agency of a regulation, plan, or code must occur at the time specified under RCW 43.21C.120.</w:t>
      </w:r>
    </w:p>
    <w:p>
      <w:pPr>
        <w:spacing w:before="0" w:after="0" w:line="408" w:lineRule="exact"/>
        <w:ind w:left="0" w:right="0" w:firstLine="576"/>
        <w:jc w:val="left"/>
      </w:pPr>
      <w:r>
        <w:rPr>
          <w:u w:val="single"/>
        </w:rPr>
        <w:t xml:space="preserve">(3) A governmental</w:t>
      </w:r>
      <w:r>
        <w:rPr/>
        <w:t xml:space="preserve"> action may be conditioned only to mitigate specific </w:t>
      </w:r>
      <w:r>
        <w:rPr>
          <w:u w:val="single"/>
        </w:rPr>
        <w:t xml:space="preserve">significant</w:t>
      </w:r>
      <w:r>
        <w:rPr/>
        <w:t xml:space="preserve"> adverse environmental impacts which are identified in the environmental documents prepared under this chapter. These conditions shall be stated in writing by the decision maker. Mitigation measures shall be reasonable and capable of being accomplished.</w:t>
      </w:r>
    </w:p>
    <w:p>
      <w:pPr>
        <w:spacing w:before="0" w:after="0" w:line="408" w:lineRule="exact"/>
        <w:ind w:left="0" w:right="0" w:firstLine="576"/>
        <w:jc w:val="left"/>
      </w:pPr>
      <w:r>
        <w:rPr>
          <w:u w:val="single"/>
        </w:rPr>
        <w:t xml:space="preserve">(4)</w:t>
      </w:r>
      <w:r>
        <w:rPr/>
        <w:t xml:space="preserve"> In order to deny a proposal under this chapter, an agency must find that: </w:t>
      </w:r>
      <w:r>
        <w:t>((</w:t>
      </w:r>
      <w:r>
        <w:rPr>
          <w:strike/>
        </w:rPr>
        <w:t xml:space="preserve">(1)</w:t>
      </w:r>
      <w:r>
        <w:t>))</w:t>
      </w:r>
      <w:r>
        <w:rPr/>
        <w:t xml:space="preserve"> </w:t>
      </w:r>
      <w:r>
        <w:rPr>
          <w:u w:val="single"/>
        </w:rPr>
        <w:t xml:space="preserve">(a)</w:t>
      </w:r>
      <w:r>
        <w:rPr/>
        <w:t xml:space="preserve"> The proposal would result in significant adverse impacts identified in a final or supplemental environmental impact statement prepared under this chapter; and </w:t>
      </w:r>
      <w:r>
        <w:t>((</w:t>
      </w:r>
      <w:r>
        <w:rPr>
          <w:strike/>
        </w:rPr>
        <w:t xml:space="preserve">(2)</w:t>
      </w:r>
      <w:r>
        <w:t>))</w:t>
      </w:r>
      <w:r>
        <w:rPr/>
        <w:t xml:space="preserve"> </w:t>
      </w:r>
      <w:r>
        <w:rPr>
          <w:u w:val="single"/>
        </w:rPr>
        <w:t xml:space="preserve">(b)</w:t>
      </w:r>
      <w:r>
        <w:rPr/>
        <w:t xml:space="preserve"> reasonable mitigation measures are insufficient to mitigate the identified impact.</w:t>
      </w:r>
    </w:p>
    <w:p>
      <w:pPr>
        <w:spacing w:before="0" w:after="0" w:line="408" w:lineRule="exact"/>
        <w:ind w:left="0" w:right="0" w:firstLine="576"/>
        <w:jc w:val="left"/>
      </w:pPr>
      <w:r>
        <w:rPr>
          <w:u w:val="single"/>
        </w:rPr>
        <w:t xml:space="preserve">(5)</w:t>
      </w:r>
      <w:r>
        <w:rPr/>
        <w:t xml:space="preserve"> Except for permits and variances issued pursuant to chapter 90.58 RCW, when </w:t>
      </w:r>
      <w:r>
        <w:t>((</w:t>
      </w:r>
      <w:r>
        <w:rPr>
          <w:strike/>
        </w:rPr>
        <w:t xml:space="preserve">such</w:t>
      </w:r>
      <w:r>
        <w:t>))</w:t>
      </w:r>
      <w:r>
        <w:rPr/>
        <w:t xml:space="preserve"> a governmental action</w:t>
      </w:r>
      <w:r>
        <w:t>((</w:t>
      </w:r>
      <w:r>
        <w:rPr>
          <w:strike/>
        </w:rPr>
        <w:t xml:space="preserve">, not requiring a legislative decision,</w:t>
      </w:r>
      <w:r>
        <w:t>))</w:t>
      </w:r>
      <w:r>
        <w:rPr/>
        <w:t xml:space="preserve"> </w:t>
      </w:r>
      <w:r>
        <w:rPr>
          <w:u w:val="single"/>
        </w:rPr>
        <w:t xml:space="preserve">that does not require a legislative decision</w:t>
      </w:r>
      <w:r>
        <w:rPr/>
        <w:t xml:space="preserve"> is conditioned or denied by a nonelected official of a local governmental agency, the decision shall be appealable to the legislative authority of the acting local governmental agency unless that legislative authority formally eliminates such appeals. </w:t>
      </w:r>
      <w:r>
        <w:t>((</w:t>
      </w:r>
      <w:r>
        <w:rPr>
          <w:strike/>
        </w:rPr>
        <w:t xml:space="preserve">Such</w:t>
      </w:r>
      <w:r>
        <w:t>))</w:t>
      </w:r>
      <w:r>
        <w:rPr/>
        <w:t xml:space="preserve"> </w:t>
      </w:r>
      <w:r>
        <w:rPr>
          <w:u w:val="single"/>
        </w:rPr>
        <w:t xml:space="preserve">A</w:t>
      </w:r>
      <w:r>
        <w:rPr/>
        <w:t xml:space="preserve">ppeals </w:t>
      </w:r>
      <w:r>
        <w:rPr>
          <w:u w:val="single"/>
        </w:rPr>
        <w:t xml:space="preserve">under this subsection</w:t>
      </w:r>
      <w:r>
        <w:rPr/>
        <w:t xml:space="preserve"> shall be in accordance with procedures established for such appeals by the legislative authority of the acting local governmental agency.</w:t>
      </w:r>
    </w:p>
    <w:p/>
    <w:p>
      <w:pPr>
        <w:jc w:val="center"/>
      </w:pPr>
      <w:r>
        <w:rPr>
          <w:b/>
        </w:rPr>
        <w:t>--- END ---</w:t>
      </w:r>
    </w:p>
    <w:sectPr>
      <w:pgNumType w:start="1"/>
      <w:footerReference xmlns:r="http://schemas.openxmlformats.org/officeDocument/2006/relationships" r:id="R1fec2349e80d4a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1aee25d0a49c9" /><Relationship Type="http://schemas.openxmlformats.org/officeDocument/2006/relationships/footer" Target="/word/footer.xml" Id="R1fec2349e80d4a38" /></Relationships>
</file>