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e27bd134b1439e" /></Relationships>
</file>

<file path=word/document.xml><?xml version="1.0" encoding="utf-8"?>
<w:document xmlns:w="http://schemas.openxmlformats.org/wordprocessingml/2006/main">
  <w:body>
    <w:p>
      <w:r>
        <w:t>H-0215.1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1023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MacEwen, Stanford, Muri, Young, Kilduff, and Shea</w:t>
      </w:r>
    </w:p>
    <w:p/>
    <w:p>
      <w:r>
        <w:rPr>
          <w:t xml:space="preserve">Prefiled 12/05/16.</w:t>
        </w:rPr>
      </w:r>
      <w:r>
        <w:rPr>
          <w:t xml:space="preserve">Read first time 01/09/17.  </w:t>
        </w:rPr>
      </w:r>
      <w:r>
        <w:rPr>
          <w:t xml:space="preserve">Referred to Committee on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military student participation in varsity extracurricular activities; and amending RCW 28A.225.280.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28A</w:t>
      </w:r>
      <w:r>
        <w:rPr/>
        <w:t xml:space="preserve">.</w:t>
      </w:r>
      <w:r>
        <w:t xml:space="preserve">225</w:t>
      </w:r>
      <w:r>
        <w:rPr/>
        <w:t xml:space="preserve">.</w:t>
      </w:r>
      <w:r>
        <w:t xml:space="preserve">280</w:t>
      </w:r>
      <w:r>
        <w:rPr/>
        <w:t xml:space="preserve"> and 2006 c 263 s 903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Eligibility of transfer students under RCW 28A.225.220 and 28A.225.225 for participation in extracurricular activities shall be subject to rules adopted by the Washington interscholastic activities association. </w:t>
      </w:r>
      <w:r>
        <w:rPr>
          <w:u w:val="single"/>
        </w:rPr>
        <w:t xml:space="preserve">The Washington interscholastic activities association may not require a transfer student who is a child of an active duty military family to meet continuous enrollment prerequisites before becoming eligible for varsity-level extracurricular activities.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8268a9af78694ba9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1023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a70b9c30ca49f3" /><Relationship Type="http://schemas.openxmlformats.org/officeDocument/2006/relationships/footer" Target="/word/footer.xml" Id="R8268a9af78694ba9" /></Relationships>
</file>