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baf9fbe1c47eb" /></Relationships>
</file>

<file path=word/document.xml><?xml version="1.0" encoding="utf-8"?>
<w:document xmlns:w="http://schemas.openxmlformats.org/wordprocessingml/2006/main">
  <w:body>
    <w:p>
      <w:r>
        <w:t>H-1331.2</w:t>
      </w:r>
    </w:p>
    <w:p>
      <w:pPr>
        <w:jc w:val="center"/>
      </w:pPr>
      <w:r>
        <w:t>_______________________________________________</w:t>
      </w:r>
    </w:p>
    <w:p/>
    <w:p>
      <w:pPr>
        <w:jc w:val="center"/>
      </w:pPr>
      <w:r>
        <w:rPr>
          <w:b/>
        </w:rPr>
        <w:t>SUBSTITUTE HOUSE BILL 1046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 MacEwen)</w:t>
      </w:r>
    </w:p>
    <w:p/>
    <w:p>
      <w:r>
        <w:rPr>
          <w:t xml:space="preserve">READ FIRST TIME 01/30/17.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academic and individual achievement; amending RCW 28A.155.045, 28A.155.170, 28A.230.090, 28A.230.122, 28A.230.125, 28A.655.070, 28A.180.100, 28A.195.010, 28A.200.010, 28A.305.130, 28A.320.208, 28A.415.360, and 28A.600.310; adding a new section to chapter 28A.655 RCW; creating a new section; repealing RCW 28A.600.405, 28A.655.061, 28A.655.063, 28A.655.065, 28A.655.066, and 28A.655.068;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DISCONTINUING CERTIFICATES OF ACADEMIC AND INDIVIDUAL ACHIEVEMENT AS GRADUATION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 students served under this chapter, who are not appropriately assessed by the high school Washington assessment system </w:t>
      </w:r>
      <w:r>
        <w:t>((</w:t>
      </w:r>
      <w:r>
        <w:rPr>
          <w:strike/>
        </w:rPr>
        <w:t xml:space="preserve">as defined in RCW 28A.655.061</w:t>
      </w:r>
      <w:r>
        <w:t>))</w:t>
      </w:r>
      <w:r>
        <w:rPr/>
        <w:t xml:space="preserve"> </w:t>
      </w:r>
      <w:r>
        <w:rPr>
          <w:u w:val="single"/>
        </w:rPr>
        <w:t xml:space="preserve">established in accordance with RCW 28A.655.070</w:t>
      </w:r>
      <w:r>
        <w:rPr/>
        <w:t xml:space="preserve">, even with accommodations, may </w:t>
      </w:r>
      <w:r>
        <w:t>((</w:t>
      </w:r>
      <w:r>
        <w:rPr>
          <w:strike/>
        </w:rPr>
        <w:t xml:space="preserve">earn a certificate of individual achievement. The certificate may be earned using multiple ways to</w:t>
      </w:r>
      <w:r>
        <w:t>))</w:t>
      </w:r>
      <w:r>
        <w:rPr>
          <w:u w:val="single"/>
        </w:rPr>
        <w:t xml:space="preserve">, through multiple options,</w:t>
      </w:r>
      <w:r>
        <w:rPr/>
        <w:t xml:space="preserve"> demonstrate skills and abilities commensurate with their individual education programs. The determination of whether the high school assessment system is appropriate shall be made by the student's individual education program team. </w:t>
      </w:r>
      <w:r>
        <w:t>((</w:t>
      </w:r>
      <w:r>
        <w:rPr>
          <w:strike/>
        </w:rPr>
        <w:t xml:space="preserve">Except as provided in RCW 28A.655.0611, for these students, the certificate of individual achievement is required for graduation from a public high school, but need not be the only requirement for graduation.</w:t>
      </w:r>
      <w:r>
        <w:t>))</w:t>
      </w:r>
      <w:r>
        <w:rPr/>
        <w:t xml:space="preserve"> 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pPr>
        <w:spacing w:before="0" w:after="0" w:line="408" w:lineRule="exact"/>
        <w:ind w:left="0" w:right="0" w:firstLine="576"/>
        <w:jc w:val="left"/>
      </w:pPr>
      <w:r>
        <w:rPr/>
        <w:t xml:space="preserve">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for high school graduation purposes, the student's high school transcript shall note whether that student </w:t>
      </w:r>
      <w:r>
        <w:t>((</w:t>
      </w:r>
      <w:r>
        <w:rPr>
          <w:strike/>
        </w:rPr>
        <w:t xml:space="preserve">has earned a certificate of individual achievement</w:t>
      </w:r>
      <w:r>
        <w:t>))</w:t>
      </w:r>
      <w:r>
        <w:rPr/>
        <w:t xml:space="preserve"> </w:t>
      </w:r>
      <w:r>
        <w:rPr>
          <w:u w:val="single"/>
        </w:rPr>
        <w:t xml:space="preserve">was assessed with alternative assessments</w:t>
      </w:r>
      <w:r>
        <w:rPr/>
        <w:t xml:space="preserve">.</w:t>
      </w:r>
    </w:p>
    <w:p>
      <w:pPr>
        <w:spacing w:before="0" w:after="0" w:line="408" w:lineRule="exact"/>
        <w:ind w:left="0" w:right="0" w:firstLine="576"/>
        <w:jc w:val="left"/>
      </w:pPr>
      <w:r>
        <w:rPr/>
        <w:t xml:space="preserve">Nothing in this section shall be construed to deny a student the right to participation in the high school assessment system </w:t>
      </w:r>
      <w:r>
        <w:t>((</w:t>
      </w:r>
      <w:r>
        <w:rPr>
          <w:strike/>
        </w:rPr>
        <w:t xml:space="preserve">as defined in RCW 28A.655.061, and, upon successfully meeting the high school standard, receipt of the certificate of academic achievement</w:t>
      </w:r>
      <w:r>
        <w:t>))</w:t>
      </w:r>
      <w:r>
        <w:rPr/>
        <w:t xml:space="preserve"> </w:t>
      </w:r>
      <w:r>
        <w:rPr>
          <w:u w:val="single"/>
        </w:rPr>
        <w:t xml:space="preserve">established in accordance with RCW 28A.655.070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MODIFICATIONS TO PROVISIONS OF EDUCATION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w:t>
      </w:r>
      <w:r>
        <w:t>((</w:t>
      </w:r>
      <w:r>
        <w:rPr>
          <w:strike/>
        </w:rPr>
        <w:t xml:space="preserve">earned a certificate of academic achievement</w:t>
      </w:r>
      <w:r>
        <w:t>))</w:t>
      </w:r>
      <w:r>
        <w:rPr/>
        <w:t xml:space="preserve"> </w:t>
      </w:r>
      <w:r>
        <w:rPr>
          <w:u w:val="single"/>
        </w:rPr>
        <w:t xml:space="preserve">met all applicable graduation requirements</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and</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w:t>
      </w:r>
      <w:r>
        <w:t>((</w:t>
      </w:r>
      <w:r>
        <w:rPr>
          <w:strike/>
        </w:rPr>
        <w:t xml:space="preserve">,</w:t>
      </w:r>
      <w:r>
        <w:t>))</w:t>
      </w:r>
      <w:r>
        <w:rPr/>
        <w:t xml:space="preserve"> </w:t>
      </w:r>
      <w:r>
        <w:rPr>
          <w:u w:val="single"/>
        </w:rPr>
        <w:t xml:space="preserve">or</w:t>
      </w:r>
      <w:r>
        <w:rPr/>
        <w:t xml:space="preserve"> master the essential academic learning requirements,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must be notified about the information in the student learning plan, preferably through a parent conference and at least annually. To the extent feasible, schools serving English language learner students and their parents must translate the plan into the primary language of the family. The plan must include the following information as applicable:</w:t>
      </w:r>
    </w:p>
    <w:p>
      <w:pPr>
        <w:spacing w:before="0" w:after="0" w:line="408" w:lineRule="exact"/>
        <w:ind w:left="0" w:right="0" w:firstLine="576"/>
        <w:jc w:val="left"/>
      </w:pPr>
      <w:r>
        <w:rPr/>
        <w:t xml:space="preserve">(1) The student's results on the state assessment;</w:t>
      </w:r>
    </w:p>
    <w:p>
      <w:pPr>
        <w:spacing w:before="0" w:after="0" w:line="408" w:lineRule="exact"/>
        <w:ind w:left="0" w:right="0" w:firstLine="576"/>
        <w:jc w:val="left"/>
      </w:pPr>
      <w:r>
        <w:rPr/>
        <w:t xml:space="preserve">(2) If the student is in the transitional bilingual instruction program, the score on his or her Washington language proficiency test II;</w:t>
      </w:r>
    </w:p>
    <w:p>
      <w:pPr>
        <w:spacing w:before="0" w:after="0" w:line="408" w:lineRule="exact"/>
        <w:ind w:left="0" w:right="0" w:firstLine="576"/>
        <w:jc w:val="left"/>
      </w:pPr>
      <w:r>
        <w:rPr/>
        <w:t xml:space="preserve">(3) Any credit deficiencies;</w:t>
      </w:r>
    </w:p>
    <w:p>
      <w:pPr>
        <w:spacing w:before="0" w:after="0" w:line="408" w:lineRule="exact"/>
        <w:ind w:left="0" w:right="0" w:firstLine="576"/>
        <w:jc w:val="left"/>
      </w:pPr>
      <w:r>
        <w:rPr/>
        <w:t xml:space="preserve">(4) The student's attendance rates over the previous two years;</w:t>
      </w:r>
    </w:p>
    <w:p>
      <w:pPr>
        <w:spacing w:before="0" w:after="0" w:line="408" w:lineRule="exact"/>
        <w:ind w:left="0" w:right="0" w:firstLine="576"/>
        <w:jc w:val="left"/>
      </w:pPr>
      <w:r>
        <w:rPr/>
        <w:t xml:space="preserve">(5) The student's progress toward meeting state and local graduation requirements;</w:t>
      </w:r>
    </w:p>
    <w:p>
      <w:pPr>
        <w:spacing w:before="0" w:after="0" w:line="408" w:lineRule="exact"/>
        <w:ind w:left="0" w:right="0" w:firstLine="576"/>
        <w:jc w:val="left"/>
      </w:pPr>
      <w:r>
        <w:rPr/>
        <w:t xml:space="preserve">(6)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(7)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(8)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(9)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068</w:t>
      </w:r>
      <w:r>
        <w:rPr/>
        <w:t xml:space="preserve"> (Statewide high school assessment in science) and 2013 2nd sp.s. c 22 s 4 &amp; 2011 1st sp.s. c 22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students in the graduating class of 2017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d00f017cac40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436290cf994828" /><Relationship Type="http://schemas.openxmlformats.org/officeDocument/2006/relationships/footer" Target="/word/footer.xml" Id="R12d00f017cac40f6" /></Relationships>
</file>