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a61ed08d04deb" /></Relationships>
</file>

<file path=word/document.xml><?xml version="1.0" encoding="utf-8"?>
<w:document xmlns:w="http://schemas.openxmlformats.org/wordprocessingml/2006/main">
  <w:body>
    <w:p>
      <w:r>
        <w:t>H-0361.1</w:t>
      </w:r>
    </w:p>
    <w:p>
      <w:pPr>
        <w:jc w:val="center"/>
      </w:pPr>
      <w:r>
        <w:t>_______________________________________________</w:t>
      </w:r>
    </w:p>
    <w:p/>
    <w:p>
      <w:pPr>
        <w:jc w:val="center"/>
      </w:pPr>
      <w:r>
        <w:rPr>
          <w:b/>
        </w:rPr>
        <w:t>HOUSE BILL 1127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Condotta, Sawyer, and Vick</w:t>
      </w:r>
    </w:p>
    <w:p/>
    <w:p>
      <w:r>
        <w:rPr>
          <w:t xml:space="preserve">Read first time 01/11/17.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of marijuana-related businesses involving a partnership, employee cooperative, association, nonprofit corporation, corporation, or limited liability company;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must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and provided that:</w:t>
      </w:r>
    </w:p>
    <w:p>
      <w:pPr>
        <w:spacing w:before="0" w:after="0" w:line="408" w:lineRule="exact"/>
        <w:ind w:left="0" w:right="0" w:firstLine="576"/>
        <w:jc w:val="left"/>
      </w:pPr>
      <w:r>
        <w:rPr>
          <w:u w:val="single"/>
        </w:rPr>
        <w:t xml:space="preserve">(A) More than fifty percent of the interest in the entity is held by one or more interest holders who lawfully reside in the state; and</w:t>
      </w:r>
    </w:p>
    <w:p>
      <w:pPr>
        <w:spacing w:before="0" w:after="0" w:line="408" w:lineRule="exact"/>
        <w:ind w:left="0" w:right="0" w:firstLine="576"/>
        <w:jc w:val="left"/>
      </w:pPr>
      <w:r>
        <w:rPr>
          <w:u w:val="single"/>
        </w:rPr>
        <w:t xml:space="preserve">(B) All interest holders who are not state residents are resident citizens of the United States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(d) The state liquor and cannabis board has discretionary authority to deny a license or license renewal to an entity if the state liquor and cannabis board is unable to investigate a nonresident interest holder in the entity in accordance with the investigatory standards applicable to the investigation of a state resident.</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Subject to section 1601 of this act,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23.95.105(6);</w:t>
      </w:r>
    </w:p>
    <w:p>
      <w:pPr>
        <w:spacing w:before="0" w:after="0" w:line="408" w:lineRule="exact"/>
        <w:ind w:left="0" w:right="0" w:firstLine="576"/>
        <w:jc w:val="left"/>
      </w:pPr>
      <w:r>
        <w:rPr>
          <w:u w:val="single"/>
        </w:rPr>
        <w:t xml:space="preserve">(b) "Interest" has the same meaning as in RCW 23.95.105(13); and</w:t>
      </w:r>
    </w:p>
    <w:p>
      <w:pPr>
        <w:spacing w:before="0" w:after="0" w:line="408" w:lineRule="exact"/>
        <w:ind w:left="0" w:right="0" w:firstLine="576"/>
        <w:jc w:val="left"/>
      </w:pPr>
      <w:r>
        <w:rPr>
          <w:u w:val="single"/>
        </w:rPr>
        <w:t xml:space="preserve">(c) "Interest holder" has the same meaning as in RCW 23.95.105(14).</w:t>
      </w:r>
    </w:p>
    <w:p/>
    <w:p>
      <w:pPr>
        <w:jc w:val="center"/>
      </w:pPr>
      <w:r>
        <w:rPr>
          <w:b/>
        </w:rPr>
        <w:t>--- END ---</w:t>
      </w:r>
    </w:p>
    <w:sectPr>
      <w:pgNumType w:start="1"/>
      <w:footerReference xmlns:r="http://schemas.openxmlformats.org/officeDocument/2006/relationships" r:id="Rfa411a1fb83f49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76be08f09c4c2a" /><Relationship Type="http://schemas.openxmlformats.org/officeDocument/2006/relationships/footer" Target="/word/footer.xml" Id="Rfa411a1fb83f4930" /></Relationships>
</file>