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06cfea79fa449b" /></Relationships>
</file>

<file path=word/document.xml><?xml version="1.0" encoding="utf-8"?>
<w:document xmlns:w="http://schemas.openxmlformats.org/wordprocessingml/2006/main">
  <w:body>
    <w:p>
      <w:r>
        <w:t>H-4425.1</w:t>
      </w:r>
    </w:p>
    <w:p>
      <w:pPr>
        <w:jc w:val="center"/>
      </w:pPr>
      <w:r>
        <w:t>_______________________________________________</w:t>
      </w:r>
    </w:p>
    <w:p/>
    <w:p>
      <w:pPr>
        <w:jc w:val="center"/>
      </w:pPr>
      <w:r>
        <w:rPr>
          <w:b/>
        </w:rPr>
        <w:t>SUBSTITUTE HOUSE BILL 1151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Wylie, Vick, and Blake)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residency requirements for licensed marijuana businesses;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entity or nonprofit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w:t>
      </w:r>
      <w:r>
        <w:rPr>
          <w:u w:val="single"/>
        </w:rPr>
        <w:t xml:space="preserve">or holding a certificate of registration under chapter 23.95 RCW, and provided that:</w:t>
      </w:r>
    </w:p>
    <w:p>
      <w:pPr>
        <w:spacing w:before="0" w:after="0" w:line="408" w:lineRule="exact"/>
        <w:ind w:left="0" w:right="0" w:firstLine="576"/>
        <w:jc w:val="left"/>
      </w:pPr>
      <w:r>
        <w:rPr>
          <w:u w:val="single"/>
        </w:rPr>
        <w:t xml:space="preserve">(A) Those holding seventy-five percent of the interest in the entity meet the residency requirement; and</w:t>
      </w:r>
    </w:p>
    <w:p>
      <w:pPr>
        <w:spacing w:before="0" w:after="0" w:line="408" w:lineRule="exact"/>
        <w:ind w:left="0" w:right="0" w:firstLine="576"/>
        <w:jc w:val="left"/>
      </w:pPr>
      <w:r>
        <w:rPr>
          <w:u w:val="single"/>
        </w:rPr>
        <w:t xml:space="preserve">(B) All interest holders who are not state residents are resident citizens of the United States</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r>
        <w:rPr>
          <w:u w:val="single"/>
        </w:rPr>
        <w:t xml:space="preserve">, with the exception of the residency requirement</w:t>
      </w:r>
      <w:r>
        <w:rPr/>
        <w:t xml:space="preserve">.</w:t>
      </w:r>
    </w:p>
    <w:p>
      <w:pPr>
        <w:spacing w:before="0" w:after="0" w:line="408" w:lineRule="exact"/>
        <w:ind w:left="0" w:right="0" w:firstLine="576"/>
        <w:jc w:val="left"/>
      </w:pPr>
      <w:r>
        <w:rPr>
          <w:u w:val="single"/>
        </w:rPr>
        <w:t xml:space="preserve">(c) The state liquor and cannabis board has discretionary authority to deny a license or license renewal to an entity if the state liquor and cannabis board is unable to investigate a nonresident interest holder in the entity in accordance with the investigatory standards applicable to the investigation of a state resident.</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 upon request from the authority notified by the state liquor and cannabis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state liquor and cannabis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"Entity" has the same meaning as in RCW 23.95.105(6);</w:t>
      </w:r>
    </w:p>
    <w:p>
      <w:pPr>
        <w:spacing w:before="0" w:after="0" w:line="408" w:lineRule="exact"/>
        <w:ind w:left="0" w:right="0" w:firstLine="576"/>
        <w:jc w:val="left"/>
      </w:pPr>
      <w:r>
        <w:rPr>
          <w:u w:val="single"/>
        </w:rPr>
        <w:t xml:space="preserve">(b) "Interest" has the same meaning as in RCW 23.95.105(13); and</w:t>
      </w:r>
    </w:p>
    <w:p>
      <w:pPr>
        <w:spacing w:before="0" w:after="0" w:line="408" w:lineRule="exact"/>
        <w:ind w:left="0" w:right="0" w:firstLine="576"/>
        <w:jc w:val="left"/>
      </w:pPr>
      <w:r>
        <w:rPr>
          <w:u w:val="single"/>
        </w:rPr>
        <w:t xml:space="preserve">(c) "Interest holder" has the same meaning as in RCW 23.95.105(14).</w:t>
      </w:r>
    </w:p>
    <w:p/>
    <w:p>
      <w:pPr>
        <w:jc w:val="center"/>
      </w:pPr>
      <w:r>
        <w:rPr>
          <w:b/>
        </w:rPr>
        <w:t>--- END ---</w:t>
      </w:r>
    </w:p>
    <w:sectPr>
      <w:pgNumType w:start="1"/>
      <w:footerReference xmlns:r="http://schemas.openxmlformats.org/officeDocument/2006/relationships" r:id="Rb7cff951e48d42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ea63d20b8a46b3" /><Relationship Type="http://schemas.openxmlformats.org/officeDocument/2006/relationships/footer" Target="/word/footer.xml" Id="Rb7cff951e48d42ee" /></Relationships>
</file>