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a2b3a0c5d645c4" /></Relationships>
</file>

<file path=word/document.xml><?xml version="1.0" encoding="utf-8"?>
<w:document xmlns:w="http://schemas.openxmlformats.org/wordprocessingml/2006/main">
  <w:body>
    <w:p>
      <w:r>
        <w:t>Z-0201.1</w:t>
      </w:r>
    </w:p>
    <w:p>
      <w:pPr>
        <w:jc w:val="center"/>
      </w:pPr>
      <w:r>
        <w:t>_______________________________________________</w:t>
      </w:r>
    </w:p>
    <w:p/>
    <w:p>
      <w:pPr>
        <w:jc w:val="center"/>
      </w:pPr>
      <w:r>
        <w:rPr>
          <w:b/>
        </w:rPr>
        <w:t>HOUSE BILL 1159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Pellicciotti, Haler, Sells, Pollet, Hudgins, and Kilduff; by request of Attorney General</w:t>
      </w:r>
    </w:p>
    <w:p/>
    <w:p>
      <w:r>
        <w:rPr>
          <w:t xml:space="preserve">Read first time 01/12/17.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after public service in state government; amending RCW 42.52.080 and 42.52.900;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3 of this act.</w:t>
      </w:r>
    </w:p>
    <w:p>
      <w:pPr>
        <w:spacing w:before="0" w:after="0" w:line="408" w:lineRule="exact"/>
        <w:ind w:left="0" w:right="0" w:firstLine="576"/>
        <w:jc w:val="left"/>
      </w:pPr>
      <w:r>
        <w:rPr>
          <w:u w:val="single"/>
        </w:rPr>
        <w:t xml:space="preserve">(d) Persons in category A, within one year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Practicing or appearing before any state agency; or</w:t>
      </w:r>
    </w:p>
    <w:p>
      <w:pPr>
        <w:spacing w:before="0" w:after="0" w:line="408" w:lineRule="exact"/>
        <w:ind w:left="0" w:right="0" w:firstLine="576"/>
        <w:jc w:val="left"/>
      </w:pPr>
      <w:r>
        <w:rPr>
          <w:u w:val="single"/>
        </w:rPr>
        <w:t xml:space="preserve">(iii) Attempting, on behalf of another, to influence a state action by any state agency.</w:t>
      </w:r>
    </w:p>
    <w:p>
      <w:pPr>
        <w:spacing w:before="0" w:after="0" w:line="408" w:lineRule="exact"/>
        <w:ind w:left="0" w:right="0" w:firstLine="576"/>
        <w:jc w:val="left"/>
      </w:pPr>
      <w:r>
        <w:rPr>
          <w:u w:val="single"/>
        </w:rPr>
        <w:t xml:space="preserve">(e) Persons in category B, within one year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Practicing or appearing before his or her most recent former state employer; or</w:t>
      </w:r>
    </w:p>
    <w:p>
      <w:pPr>
        <w:spacing w:before="0" w:after="0" w:line="408" w:lineRule="exact"/>
        <w:ind w:left="0" w:right="0" w:firstLine="576"/>
        <w:jc w:val="left"/>
      </w:pPr>
      <w:r>
        <w:rPr>
          <w:u w:val="single"/>
        </w:rPr>
        <w:t xml:space="preserve">(iii)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2018.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900</w:t>
      </w:r>
      <w:r>
        <w:rPr/>
        <w:t xml:space="preserve"> and 1994 c 154 s 1 are each amended to read as follows:</w:t>
      </w:r>
    </w:p>
    <w:p>
      <w:pPr>
        <w:spacing w:before="0" w:after="0" w:line="408" w:lineRule="exact"/>
        <w:ind w:left="0" w:right="0" w:firstLine="576"/>
        <w:jc w:val="left"/>
      </w:pPr>
      <w:r>
        <w:rPr/>
        <w:t xml:space="preserve">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 Paramount in that trust is the principle that public office, whether elected or appointed, may not be used for personal gain or private advantage.</w:t>
      </w:r>
    </w:p>
    <w:p>
      <w:pPr>
        <w:spacing w:before="0" w:after="0" w:line="408" w:lineRule="exact"/>
        <w:ind w:left="0" w:right="0" w:firstLine="576"/>
        <w:jc w:val="left"/>
      </w:pPr>
      <w:r>
        <w:rPr/>
        <w:t xml:space="preserve">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pPr>
        <w:spacing w:before="0" w:after="0" w:line="408" w:lineRule="exact"/>
        <w:ind w:left="0" w:right="0" w:firstLine="576"/>
        <w:jc w:val="left"/>
      </w:pPr>
      <w:r>
        <w:rPr/>
        <w:t xml:space="preserve">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pPr>
        <w:spacing w:before="0" w:after="0" w:line="408" w:lineRule="exact"/>
        <w:ind w:left="0" w:right="0" w:firstLine="576"/>
        <w:jc w:val="left"/>
      </w:pPr>
      <w:r>
        <w:rPr/>
        <w:t xml:space="preserve">All who have the privilege of working for the people of Washington state can have but one aim: To give the highest public service to its citizens.</w:t>
      </w:r>
    </w:p>
    <w:p>
      <w:pPr>
        <w:spacing w:before="0" w:after="0" w:line="408" w:lineRule="exact"/>
        <w:ind w:left="0" w:right="0" w:firstLine="576"/>
        <w:jc w:val="left"/>
      </w:pPr>
      <w:r>
        <w:rPr>
          <w:u w:val="single"/>
        </w:rPr>
        <w:t xml:space="preserve">Furthermore, the legislature finds that the state has a compelling interest in preserving the public trust in the integrity of our government and ensuring that the actions of state employees are free from improper influence. The ability of a former public officer or employee in state government to be paid to influence state government actions immediately after leaving state service creates the appearance to the public of special favor, unfair access, and conflicts of interest. The practice of paying former public servants in state government to use their special knowledge of internal agency process and personal relationships with former colleagues to gain influence for private and special interests should be tempered for a period of time to protect the public interest.</w:t>
      </w:r>
    </w:p>
    <w:p>
      <w:pPr>
        <w:spacing w:before="0" w:after="0" w:line="408" w:lineRule="exact"/>
        <w:ind w:left="0" w:right="0" w:firstLine="576"/>
        <w:jc w:val="left"/>
      </w:pPr>
      <w:r>
        <w:rPr>
          <w:u w:val="single"/>
        </w:rPr>
        <w:t xml:space="preserve">A majority of states, as well as the federal government, have enacted laws requiring a cooling off period or other postgovernment employment laws addressing when a former public officer may lobby government or seek to influence his or her former employer. These laws impose anywhere from a one-year to a lifetime ban on certain postemployment activities. A cooling off period can effectively reduce the leverage a former officer or high-level employee has when he or she is paid to influence policy decisions within the authority of his or her former employer or former duties, until that influence is mitigated through the passage of time.</w:t>
      </w:r>
    </w:p>
    <w:p>
      <w:pPr>
        <w:spacing w:before="0" w:after="0" w:line="408" w:lineRule="exact"/>
        <w:ind w:left="0" w:right="0" w:firstLine="576"/>
        <w:jc w:val="left"/>
      </w:pPr>
      <w:r>
        <w:rPr>
          <w:u w:val="single"/>
        </w:rPr>
        <w:t xml:space="preserve">The disclosure by former state officers and high-level employees of their postemployment income sources will strengthen transparency and confidence in the integrity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twelve-month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fourteen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twelve-month period a person changes employers or sources of employment compensation to another employer that does business with the state or takes action to influence any state policy, rule, legislative matter, or action, he or she shall submit a new statement within forty-five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 site. The other ethics boards and the public disclosure commission shall link to the database on their respective web sites. "Searchable database" means copies of statements are posted on the executive ethics board's web 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1 and 3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ea4ac0494ce4d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a9fd1dca94893" /><Relationship Type="http://schemas.openxmlformats.org/officeDocument/2006/relationships/footer" Target="/word/footer.xml" Id="R0ea4ac0494ce4d45" /></Relationships>
</file>