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62e95ac2924482" /></Relationships>
</file>

<file path=word/document.xml><?xml version="1.0" encoding="utf-8"?>
<w:document xmlns:w="http://schemas.openxmlformats.org/wordprocessingml/2006/main">
  <w:body>
    <w:p>
      <w:r>
        <w:t>H-0472.2</w:t>
      </w:r>
    </w:p>
    <w:p>
      <w:pPr>
        <w:jc w:val="center"/>
      </w:pPr>
      <w:r>
        <w:t>_______________________________________________</w:t>
      </w:r>
    </w:p>
    <w:p/>
    <w:p>
      <w:pPr>
        <w:jc w:val="center"/>
      </w:pPr>
      <w:r>
        <w:rPr>
          <w:b/>
        </w:rPr>
        <w:t>HOUSE BILL 1163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Hayes, Orwall, Appleton, Klippert, Pellicciotti, Pettigrew, Chapman, Kilduff, Bergquist, Stanford, and Kloba</w:t>
      </w:r>
    </w:p>
    <w:p/>
    <w:p>
      <w:r>
        <w:rPr>
          <w:t xml:space="preserve">Read first time 01/12/17.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9A.36.041, 9.94A.525, 43.43.754, and 43.43.830; reenacting and amending RCW 9.94A.411; adding a new section to chapter 7.36 RCW; creating new sections; prescribing penalties;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pleaded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 or the Washington association of criminal defense lawyers;</w:t>
      </w:r>
    </w:p>
    <w:p>
      <w:pPr>
        <w:spacing w:before="0" w:after="0" w:line="408" w:lineRule="exact"/>
        <w:ind w:left="0" w:right="0" w:firstLine="576"/>
        <w:jc w:val="left"/>
      </w:pPr>
      <w:r>
        <w:rPr/>
        <w:t xml:space="preserve">(x) The Washington state association of cities;</w:t>
      </w:r>
    </w:p>
    <w:p>
      <w:pPr>
        <w:spacing w:before="0" w:after="0" w:line="408" w:lineRule="exact"/>
        <w:ind w:left="0" w:right="0" w:firstLine="576"/>
        <w:jc w:val="left"/>
      </w:pPr>
      <w:r>
        <w:rPr/>
        <w:t xml:space="preserve">(xi) The Washington state coalition against domestic violence;</w:t>
      </w:r>
    </w:p>
    <w:p>
      <w:pPr>
        <w:spacing w:before="0" w:after="0" w:line="408" w:lineRule="exact"/>
        <w:ind w:left="0" w:right="0" w:firstLine="576"/>
        <w:jc w:val="left"/>
      </w:pPr>
      <w:r>
        <w:rPr/>
        <w:t xml:space="preserve">(xii) The Washington state office of civil legal aid; and</w:t>
      </w:r>
    </w:p>
    <w:p>
      <w:pPr>
        <w:spacing w:before="0" w:after="0" w:line="408" w:lineRule="exact"/>
        <w:ind w:left="0" w:right="0" w:firstLine="576"/>
        <w:jc w:val="left"/>
      </w:pPr>
      <w:r>
        <w:rPr/>
        <w:t xml:space="preserve">(xiii)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At a minimum, the work group shall research, review, and make recommendations on the following:</w:t>
      </w:r>
    </w:p>
    <w:p>
      <w:pPr>
        <w:spacing w:before="0" w:after="0" w:line="408" w:lineRule="exact"/>
        <w:ind w:left="0" w:right="0" w:firstLine="576"/>
        <w:jc w:val="left"/>
      </w:pPr>
      <w:r>
        <w:rPr/>
        <w:t xml:space="preserve">(a) How to best develop and use risk assessment in domestic violence response utilizing available research and Washington state data;</w:t>
      </w:r>
    </w:p>
    <w:p>
      <w:pPr>
        <w:spacing w:before="0" w:after="0" w:line="408" w:lineRule="exact"/>
        <w:ind w:left="0" w:right="0" w:firstLine="576"/>
        <w:jc w:val="left"/>
      </w:pPr>
      <w:r>
        <w:rPr/>
        <w:t xml:space="preserve">(b)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rPr/>
        <w:t xml:space="preserve">(c) Promoting access to domestic violence risk assessment for advocates, police, prosecutors, corrections, and courts to improve domestic violence response;</w:t>
      </w:r>
    </w:p>
    <w:p>
      <w:pPr>
        <w:spacing w:before="0" w:after="0" w:line="408" w:lineRule="exact"/>
        <w:ind w:left="0" w:right="0" w:firstLine="576"/>
        <w:jc w:val="left"/>
      </w:pPr>
      <w:r>
        <w:rPr/>
        <w:t xml:space="preserve">(d) Whether or how risk assessment could be used as an alternative to mandatory arrest in domestic violence;</w:t>
      </w:r>
    </w:p>
    <w:p>
      <w:pPr>
        <w:spacing w:before="0" w:after="0" w:line="408" w:lineRule="exact"/>
        <w:ind w:left="0" w:right="0" w:firstLine="576"/>
        <w:jc w:val="left"/>
      </w:pPr>
      <w:r>
        <w:rPr/>
        <w:t xml:space="preserve">(e) Whether or how risk assessment could be used in bail determinations in domestic violence cases, and in civil protection order hearings;</w:t>
      </w:r>
    </w:p>
    <w:p>
      <w:pPr>
        <w:spacing w:before="0" w:after="0" w:line="408" w:lineRule="exact"/>
        <w:ind w:left="0" w:right="0" w:firstLine="576"/>
        <w:jc w:val="left"/>
      </w:pPr>
      <w:r>
        <w:rPr/>
        <w:t xml:space="preserve">(f) Whether or how offender risk, needs, and responsivity could be used in determining eligibility for diversion, sentencing alternatives, and treatment options;</w:t>
      </w:r>
    </w:p>
    <w:p>
      <w:pPr>
        <w:spacing w:before="0" w:after="0" w:line="408" w:lineRule="exact"/>
        <w:ind w:left="0" w:right="0" w:firstLine="576"/>
        <w:jc w:val="left"/>
      </w:pPr>
      <w:r>
        <w:rPr/>
        <w:t xml:space="preserve">(g) Whether or how victim risk, needs, and responsivity could be used in improving domestic violence response;</w:t>
      </w:r>
    </w:p>
    <w:p>
      <w:pPr>
        <w:spacing w:before="0" w:after="0" w:line="408" w:lineRule="exact"/>
        <w:ind w:left="0" w:right="0" w:firstLine="576"/>
        <w:jc w:val="left"/>
      </w:pPr>
      <w:r>
        <w:rPr/>
        <w:t xml:space="preserve">(h) Whether or how risk assessment can improve prosecution and encourage prosecutors to aggressively enforce domestic violence laws; and</w:t>
      </w:r>
    </w:p>
    <w:p>
      <w:pPr>
        <w:spacing w:before="0" w:after="0" w:line="408" w:lineRule="exact"/>
        <w:ind w:left="0" w:right="0" w:firstLine="576"/>
        <w:jc w:val="left"/>
      </w:pPr>
      <w:r>
        <w:rPr/>
        <w:t xml:space="preserve">(i) Encouraging private sector collaboration.</w:t>
      </w:r>
    </w:p>
    <w:p>
      <w:pPr>
        <w:spacing w:before="0" w:after="0" w:line="408" w:lineRule="exact"/>
        <w:ind w:left="0" w:right="0" w:firstLine="576"/>
        <w:jc w:val="left"/>
      </w:pPr>
      <w:r>
        <w:rPr/>
        <w:t xml:space="preserve">(4) The work group shall compile its findings and recommendations into a final report and provide its report to the appropriate committees of the legislature and governor by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
      <w:pPr>
        <w:jc w:val="center"/>
      </w:pPr>
      <w:r>
        <w:rPr>
          <w:b/>
        </w:rPr>
        <w:t>--- END ---</w:t>
      </w:r>
    </w:p>
    <w:sectPr>
      <w:pgNumType w:start="1"/>
      <w:footerReference xmlns:r="http://schemas.openxmlformats.org/officeDocument/2006/relationships" r:id="Rdf9175f6ed4b42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94c96a0114b69" /><Relationship Type="http://schemas.openxmlformats.org/officeDocument/2006/relationships/footer" Target="/word/footer.xml" Id="Rdf9175f6ed4b4244" /></Relationships>
</file>