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c815a18ec4b57" /></Relationships>
</file>

<file path=word/document.xml><?xml version="1.0" encoding="utf-8"?>
<w:document xmlns:w="http://schemas.openxmlformats.org/wordprocessingml/2006/main">
  <w:body>
    <w:p>
      <w:r>
        <w:t>H-1783.1</w:t>
      </w:r>
    </w:p>
    <w:p>
      <w:pPr>
        <w:jc w:val="center"/>
      </w:pPr>
      <w:r>
        <w:t>_______________________________________________</w:t>
      </w:r>
    </w:p>
    <w:p/>
    <w:p>
      <w:pPr>
        <w:jc w:val="center"/>
      </w:pPr>
      <w:r>
        <w:rPr>
          <w:b/>
        </w:rPr>
        <w:t>SUBSTITUTE HOUSE BILL 1172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Orwall, Blake, Fitzgibbon, Pollet, and Doglio)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low-water landscaping practices as a drought alleviation tool; adding a new section to chapter 64.38 RCW; adding a new section to chapter 64.34 RCW; adding a new section to chapter 39.35D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Water is a finite resource whose importance is heightened during the periodic drought conditions that the state experiences;</w:t>
      </w:r>
    </w:p>
    <w:p>
      <w:pPr>
        <w:spacing w:before="0" w:after="0" w:line="408" w:lineRule="exact"/>
        <w:ind w:left="0" w:right="0" w:firstLine="576"/>
        <w:jc w:val="left"/>
      </w:pPr>
      <w:r>
        <w:rPr/>
        <w:t xml:space="preserve">(b) The maintenance of lawns of green grass during the summer months for aesthetic purposes can be responsible for a noteworthy portion of summer water use by households;</w:t>
      </w:r>
    </w:p>
    <w:p>
      <w:pPr>
        <w:spacing w:before="0" w:after="0" w:line="408" w:lineRule="exact"/>
        <w:ind w:left="0" w:right="0" w:firstLine="576"/>
        <w:jc w:val="left"/>
      </w:pPr>
      <w:r>
        <w:rPr/>
        <w:t xml:space="preserve">(c)(i) In the event of a drought, state law already grants extraordinary powers to the department of ecology to manage water resources and provides for other policy responses to encourage efficient use of the state's limited water supplies;</w:t>
      </w:r>
    </w:p>
    <w:p>
      <w:pPr>
        <w:spacing w:before="0" w:after="0" w:line="408" w:lineRule="exact"/>
        <w:ind w:left="0" w:right="0" w:firstLine="576"/>
        <w:jc w:val="left"/>
      </w:pPr>
      <w:r>
        <w:rPr/>
        <w:t xml:space="preserve">(ii) However, in certain instances, property association rules are at odds with the public goal of making efficient use of limited water supplies: These association rules can prohibit private property owners from deciding to use low-water plants or landscaping practices in place of grass lawns. Similar laws also sometimes prohibit private property owners from allowing their grass to go dormant and brown during droughts; and</w:t>
      </w:r>
    </w:p>
    <w:p>
      <w:pPr>
        <w:spacing w:before="0" w:after="0" w:line="408" w:lineRule="exact"/>
        <w:ind w:left="0" w:right="0" w:firstLine="576"/>
        <w:jc w:val="left"/>
      </w:pPr>
      <w:r>
        <w:rPr/>
        <w:t xml:space="preserve">(d) The use of drought resistant landscaping is often accompanied by other environmental benefits, such as less frequent pesticide applications and less lawn fertilizer in storm water runoff.</w:t>
      </w:r>
    </w:p>
    <w:p>
      <w:pPr>
        <w:spacing w:before="0" w:after="0" w:line="408" w:lineRule="exact"/>
        <w:ind w:left="0" w:right="0" w:firstLine="576"/>
        <w:jc w:val="left"/>
      </w:pPr>
      <w:r>
        <w:rPr/>
        <w:t xml:space="preserve">(2) Therefore, it is the intent of the legislature to empower private property owners and remove an obstacle to water use efficiency by prohibiting unreasonable homeowner association and condominium association restrictions that limit private property owners' ability to deploy low-water landscaping techniques. It is also the intent of the legislature to ensure that state-funded buildings achieve the highest landscaping water efficient benchmarks that are consistent with nationally recognized consensus green building standards as reflected in the water efficiency provisions of the international green construction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may not prohibit the installation of drought resistant landscaping or wildfire ignition resistant landscaping. However, the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"Drought resistant landscaping" includes, but is not limited to, the use of any noninvasive vegetation adapted to arid or dry conditions, stone or gravel, or artificial turf or plants.</w:t>
      </w:r>
    </w:p>
    <w:p>
      <w:pPr>
        <w:spacing w:before="0" w:after="0" w:line="408" w:lineRule="exact"/>
        <w:ind w:left="0" w:right="0" w:firstLine="576"/>
        <w:jc w:val="left"/>
      </w:pPr>
      <w:r>
        <w:rPr/>
        <w:t xml:space="preserve">(b) "Wildfire ignition resistant landscaping" includes any landscaping tools or techniques, or noninvasive vegetation, that do not readily ignite from a flame or other ignition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declaration of a condominium and any bylaws, rules, and regulations adopted by the association may not prohibit the installation of drought resistant landscaping or wildfire ignition resistant landscaping. However, the declaration or bylaws, rules, and regulations may include reasonable rules regarding the placement and aesthetic appearance of drought resistant landscaping or wildfire ignition resistant landscaping, as long as the rules do not render the use of drought resistant landscaping or wildfire ignition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"Drought resistant landscaping" includes, but is not limited to, the use of any noninvasive vegetation adapted to arid or dry conditions, stone or gravel, or artificial turf or plants.</w:t>
      </w:r>
    </w:p>
    <w:p>
      <w:pPr>
        <w:spacing w:before="0" w:after="0" w:line="408" w:lineRule="exact"/>
        <w:ind w:left="0" w:right="0" w:firstLine="576"/>
        <w:jc w:val="left"/>
      </w:pPr>
      <w:r>
        <w:rPr/>
        <w:t xml:space="preserve">(b) "Wildfire ignition resistant landscaping" includes any landscaping tools or techniques, or noninvasive vegetation, that do not readily ignite from a flame or other ignition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35D</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major facility projects subject to the requirements of RCW 39.35D.030 or 39.35D.040 must be designed and constructed to receive all possible credits made available for water efficient landscaping under the United States green building council rating system, international green construction code, other nationally recognized consensus standard, or the Washington sustainable school design protocol.</w:t>
      </w:r>
    </w:p>
    <w:p>
      <w:pPr>
        <w:spacing w:before="0" w:after="0" w:line="408" w:lineRule="exact"/>
        <w:ind w:left="0" w:right="0" w:firstLine="576"/>
        <w:jc w:val="left"/>
      </w:pPr>
      <w:r>
        <w:rPr/>
        <w:t xml:space="preserve">(2) This section does not apply to athletic fields or other project elements that are eligible for exclusion from water efficient landscaping standards under either the United States green building council rating system, other nationally recognized consensus standards, or the Washington sustainable school design protocol.</w:t>
      </w:r>
    </w:p>
    <w:p/>
    <w:p>
      <w:pPr>
        <w:jc w:val="center"/>
      </w:pPr>
      <w:r>
        <w:rPr>
          <w:b/>
        </w:rPr>
        <w:t>--- END ---</w:t>
      </w:r>
    </w:p>
    <w:sectPr>
      <w:pgNumType w:start="1"/>
      <w:footerReference xmlns:r="http://schemas.openxmlformats.org/officeDocument/2006/relationships" r:id="R0fd5398ded8742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acc137462d4989" /><Relationship Type="http://schemas.openxmlformats.org/officeDocument/2006/relationships/footer" Target="/word/footer.xml" Id="R0fd5398ded874215" /></Relationships>
</file>