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faa8abe20f4cc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Goodman, Rodne, Jinkins, Kilduff, McBride, and Barkis)</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thirty-four</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thirty-four</w:t>
      </w:r>
      <w:r>
        <w:rPr/>
        <w:t xml:space="preserve"> dollars plus any surcharge authorized by RCW 7.75.035.</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all courts in which the judgment was filed. If the prevailing party fails to file proof of satisfaction of the judgment, the party paying the judgment may file such notice with all courts in which the judgment was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c73f857ad8cd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980f6874f4085" /><Relationship Type="http://schemas.openxmlformats.org/officeDocument/2006/relationships/footer" Target="/word/footer.xml" Id="Rc73f857ad8cd48f0" /></Relationships>
</file>