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7cc5632ee4101" /></Relationships>
</file>

<file path=word/document.xml><?xml version="1.0" encoding="utf-8"?>
<w:document xmlns:w="http://schemas.openxmlformats.org/wordprocessingml/2006/main">
  <w:body>
    <w:p>
      <w:r>
        <w:t>H-1475.3</w:t>
      </w:r>
    </w:p>
    <w:p>
      <w:pPr>
        <w:jc w:val="center"/>
      </w:pPr>
      <w:r>
        <w:t>_______________________________________________</w:t>
      </w:r>
    </w:p>
    <w:p/>
    <w:p>
      <w:pPr>
        <w:jc w:val="center"/>
      </w:pPr>
      <w:r>
        <w:rPr>
          <w:b/>
        </w:rPr>
        <w:t>SUBSTITUTE HOUSE BILL 1251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Frame, Rodne, Goodman, Stokesbary, Jinkins, Haler, Kagi, Muri, Reeves, Tarleton, Kilduff, Appleton, Ormsby, Senn, Blake, McBride, Fey, Doglio, Ryu, Pollet, Dolan, Gregerson, and Bergquist)</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and 13.34.100; and adding a new section to chapter 13.34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as provided in this chapter.</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of social and health services or supervising agency records to which </w:t>
      </w:r>
      <w:r>
        <w:rPr>
          <w:u w:val="single"/>
        </w:rPr>
        <w:t xml:space="preserve">the child and the child's</w:t>
      </w:r>
      <w:r>
        <w:rPr/>
        <w:t xml:space="preserve"> parents have legal access pursuant to chapter 13.50 RCW shall be given to the </w:t>
      </w:r>
      <w:r>
        <w:t>((</w:t>
      </w:r>
      <w:r>
        <w:rPr>
          <w:strike/>
        </w:rPr>
        <w:t xml:space="preserve">child's</w:t>
      </w:r>
      <w:r>
        <w:t>))</w:t>
      </w:r>
      <w:r>
        <w:rPr/>
        <w:t xml:space="preserve"> </w:t>
      </w:r>
      <w:r>
        <w:rPr>
          <w:u w:val="single"/>
        </w:rPr>
        <w:t xml:space="preserve">child or the child's counsel, and the</w:t>
      </w:r>
      <w:r>
        <w:rPr/>
        <w:t xml:space="preserve"> parent</w:t>
      </w:r>
      <w:r>
        <w:rPr>
          <w:u w:val="single"/>
        </w:rPr>
        <w:t xml:space="preserve">s</w:t>
      </w:r>
      <w:r>
        <w:rPr/>
        <w:t xml:space="preserve">, guardian, legal custodian, or his or her legal counsel, prior to any shelter care hearing and within fifteen days after the department or supervising agency receives a written request for such records from the </w:t>
      </w:r>
      <w:r>
        <w:rPr>
          <w:u w:val="single"/>
        </w:rPr>
        <w:t xml:space="preserve">child, child's counsel, and the</w:t>
      </w:r>
      <w:r>
        <w:rPr/>
        <w:t xml:space="preserve"> parent</w:t>
      </w:r>
      <w:r>
        <w:rPr>
          <w:u w:val="single"/>
        </w:rPr>
        <w:t xml:space="preserve">s</w:t>
      </w:r>
      <w:r>
        <w:rPr/>
        <w:t xml:space="preserve">, guardian, legal custodian, or his or her legal counsel. These records shall be provided to the </w:t>
      </w:r>
      <w:r>
        <w:t>((</w:t>
      </w:r>
      <w:r>
        <w:rPr>
          <w:strike/>
        </w:rPr>
        <w:t xml:space="preserve">child's</w:t>
      </w:r>
      <w:r>
        <w:t>))</w:t>
      </w:r>
      <w:r>
        <w:rPr/>
        <w:t xml:space="preserve"> </w:t>
      </w:r>
      <w:r>
        <w:rPr>
          <w:u w:val="single"/>
        </w:rPr>
        <w:t xml:space="preserve">child, child's counsel, and the</w:t>
      </w:r>
      <w:r>
        <w:rPr/>
        <w:t xml:space="preserve">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child's counsel, and the</w:t>
      </w:r>
      <w:r>
        <w:rPr/>
        <w:t xml:space="preserve"> parents, guardian, legal custodian, or his or her counsel. When the records are served on legal counsel, legal counsel shall have the opportunity to review the records with </w:t>
      </w:r>
      <w:r>
        <w:t>((</w:t>
      </w:r>
      <w:r>
        <w:rPr>
          <w:strike/>
        </w:rPr>
        <w:t xml:space="preserve">the parents</w:t>
      </w:r>
      <w:r>
        <w:t>))</w:t>
      </w:r>
      <w:r>
        <w:rPr/>
        <w:t xml:space="preserve"> </w:t>
      </w:r>
      <w:r>
        <w:rPr>
          <w:u w:val="single"/>
        </w:rPr>
        <w:t xml:space="preserve">his or her client</w:t>
      </w:r>
      <w:r>
        <w:rPr/>
        <w:t xml:space="preserve"> and shall review the records with </w:t>
      </w:r>
      <w:r>
        <w:t>((</w:t>
      </w:r>
      <w:r>
        <w:rPr>
          <w:strike/>
        </w:rPr>
        <w:t xml:space="preserve">the parents</w:t>
      </w:r>
      <w:r>
        <w:t>))</w:t>
      </w:r>
      <w:r>
        <w:rPr/>
        <w:t xml:space="preserve"> </w:t>
      </w:r>
      <w:r>
        <w:rPr>
          <w:u w:val="single"/>
        </w:rPr>
        <w:t xml:space="preserve">his or her 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w:t>
      </w:r>
      <w:r>
        <w:t>((</w:t>
      </w:r>
      <w:r>
        <w:rPr>
          <w:strike/>
        </w:rPr>
        <w:t xml:space="preserve">The requirement of a guardian ad litem may be deemed satisfied if the child is represented by an independent attorney in the proceedings.</w:t>
      </w:r>
      <w:r>
        <w:t>))</w:t>
      </w:r>
      <w:r>
        <w:rPr/>
        <w:t xml:space="preserve">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w:t>
      </w:r>
    </w:p>
    <w:p>
      <w:pPr>
        <w:spacing w:before="0" w:after="0" w:line="408" w:lineRule="exact"/>
        <w:ind w:left="0" w:right="0" w:firstLine="576"/>
        <w:jc w:val="left"/>
      </w:pPr>
      <w:r>
        <w:rPr/>
        <w:t xml:space="preserve">(d) The office of civil legal aid is responsible for implementation of (a) through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 or</w:t>
      </w:r>
    </w:p>
    <w:p>
      <w:pPr>
        <w:spacing w:before="0" w:after="0" w:line="408" w:lineRule="exact"/>
        <w:ind w:left="0" w:right="0" w:firstLine="576"/>
        <w:jc w:val="left"/>
      </w:pPr>
      <w:r>
        <w:rPr/>
        <w:t xml:space="preserve">(ii) Assignment of a case involving a child age twelve or older.</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 or</w:t>
      </w:r>
    </w:p>
    <w:p>
      <w:pPr>
        <w:spacing w:before="0" w:after="0" w:line="408" w:lineRule="exact"/>
        <w:ind w:left="0" w:right="0" w:firstLine="576"/>
        <w:jc w:val="left"/>
      </w:pPr>
      <w:r>
        <w:rPr/>
        <w:t xml:space="preserve">(ii) The date that a dependency petition is filed pursuant to this chapter on a child age twelve or older;</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(b) of this subsection (3), the court must appoint an attorney for every child over the age of two in a dependency proceeding. Appointment must be made at the same time that counsel is appointed for the child's parent, guardian, or legal custodian. If no appointment of counsel is made for the child's parent, guardian, or legal custodian, then appointment must be made at the commencement of the shelter care hearing.</w:t>
      </w:r>
    </w:p>
    <w:p>
      <w:pPr>
        <w:spacing w:before="0" w:after="0" w:line="408" w:lineRule="exact"/>
        <w:ind w:left="0" w:right="0" w:firstLine="576"/>
        <w:jc w:val="left"/>
      </w:pPr>
      <w:r>
        <w:rPr/>
        <w:t xml:space="preserve">(b) The schedule for phase in of court appointment of an attorney for every child over the age of two in a dependency proceeding is as follows:</w:t>
      </w:r>
    </w:p>
    <w:p>
      <w:pPr>
        <w:spacing w:before="0" w:after="0" w:line="408" w:lineRule="exact"/>
        <w:ind w:left="0" w:right="0" w:firstLine="576"/>
        <w:jc w:val="left"/>
      </w:pPr>
      <w:r>
        <w:rPr/>
        <w:t xml:space="preserve">(i) Beginning January 1, 2018, children ten years old and older;</w:t>
      </w:r>
    </w:p>
    <w:p>
      <w:pPr>
        <w:spacing w:before="0" w:after="0" w:line="408" w:lineRule="exact"/>
        <w:ind w:left="0" w:right="0" w:firstLine="576"/>
        <w:jc w:val="left"/>
      </w:pPr>
      <w:r>
        <w:rPr/>
        <w:t xml:space="preserve">(ii) Beginning July 1, 2018, children seven years old and older;</w:t>
      </w:r>
    </w:p>
    <w:p>
      <w:pPr>
        <w:spacing w:before="0" w:after="0" w:line="408" w:lineRule="exact"/>
        <w:ind w:left="0" w:right="0" w:firstLine="576"/>
        <w:jc w:val="left"/>
      </w:pPr>
      <w:r>
        <w:rPr/>
        <w:t xml:space="preserve">(iii) Beginning July 1, 2019, children five years old and older; and</w:t>
      </w:r>
    </w:p>
    <w:p>
      <w:pPr>
        <w:spacing w:before="0" w:after="0" w:line="408" w:lineRule="exact"/>
        <w:ind w:left="0" w:right="0" w:firstLine="576"/>
        <w:jc w:val="left"/>
      </w:pPr>
      <w:r>
        <w:rPr/>
        <w:t xml:space="preserve">(iv) Beginning July 1, 2020, children two years old and older.</w:t>
      </w:r>
    </w:p>
    <w:p>
      <w:pPr>
        <w:spacing w:before="0" w:after="0" w:line="408" w:lineRule="exact"/>
        <w:ind w:left="0" w:right="0" w:firstLine="576"/>
        <w:jc w:val="left"/>
      </w:pPr>
      <w:r>
        <w:rPr/>
        <w:t xml:space="preserve">(c) An attorney may represent siblings of children eligible for representation pursuant to this subsection, including siblings not yet eligible under the phase-in schedule, unless there is a conflict of interest or such representation is otherwise inconsistent with the rules of professional conduct.</w:t>
      </w:r>
    </w:p>
    <w:p>
      <w:pPr>
        <w:spacing w:before="0" w:after="0" w:line="408" w:lineRule="exact"/>
        <w:ind w:left="0" w:right="0" w:firstLine="576"/>
        <w:jc w:val="left"/>
      </w:pPr>
      <w:r>
        <w:rPr/>
        <w:t xml:space="preserve">(d) The office of civil legal aid is responsible for implementation of (a) and (b) of this subsection as provided in RCW 2.53.045.</w:t>
      </w:r>
    </w:p>
    <w:p>
      <w:pPr>
        <w:spacing w:before="0" w:after="0" w:line="408" w:lineRule="exact"/>
        <w:ind w:left="0" w:right="0" w:firstLine="576"/>
        <w:jc w:val="left"/>
      </w:pPr>
      <w:r>
        <w:rPr/>
        <w:t xml:space="preserve">(e) The office of civil legal aid must contract with an independent research organization to evaluate:</w:t>
      </w:r>
    </w:p>
    <w:p>
      <w:pPr>
        <w:spacing w:before="0" w:after="0" w:line="408" w:lineRule="exact"/>
        <w:ind w:left="0" w:right="0" w:firstLine="576"/>
        <w:jc w:val="left"/>
      </w:pPr>
      <w:r>
        <w:rPr/>
        <w:t xml:space="preserve">(i) The compensation rate for children's attorneys using local and national data, the feasibility of sibling group representation, and the hours necessary for attorneys to represent children and youth in compliance with state standards; and</w:t>
      </w:r>
    </w:p>
    <w:p>
      <w:pPr>
        <w:spacing w:before="0" w:after="0" w:line="408" w:lineRule="exact"/>
        <w:ind w:left="0" w:right="0" w:firstLine="576"/>
        <w:jc w:val="left"/>
      </w:pPr>
      <w:r>
        <w:rPr/>
        <w:t xml:space="preserve">(ii) The impact of legal representation on case timelines and permanency outcomes for children and youth represented by attorneys. The evaluation must include a review of data disaggregated by race, ethnicity, and age, and qualitative interviews with children, youth, and parents regarding their experiences in the dependency process. A report must be submitted to the appropriate committees of the legislature and the governor by December 1, 2021, with data collected over five years.</w:t>
      </w:r>
    </w:p>
    <w:p>
      <w:pPr>
        <w:spacing w:before="0" w:after="0" w:line="408" w:lineRule="exact"/>
        <w:ind w:left="0" w:right="0" w:firstLine="576"/>
        <w:jc w:val="left"/>
      </w:pPr>
      <w:r>
        <w:rPr/>
        <w:t xml:space="preserve">(4) Attorneys representing children pursuant to this section must provide legal services in accordance with the standards of practice, voluntary training, and caseload limits developed and recommended by the statewide children's representation work group pursuant to section 5, chapter 180, Laws of 2010, except that one attorney will be allowed to represent a sibling group unless there is a conflict of interest or such representation is otherwise inconsistent with the rules of professional conduct. Whenever one attorney represents a sibling group, the first child is counted as one case, and each child thereafter is counted as one-half case to determine compliance with the caseload limits developed and recommended by the statewide children's representation work group.</w:t>
      </w:r>
    </w:p>
    <w:p/>
    <w:p>
      <w:pPr>
        <w:jc w:val="center"/>
      </w:pPr>
      <w:r>
        <w:rPr>
          <w:b/>
        </w:rPr>
        <w:t>--- END ---</w:t>
      </w:r>
    </w:p>
    <w:sectPr>
      <w:pgNumType w:start="1"/>
      <w:footerReference xmlns:r="http://schemas.openxmlformats.org/officeDocument/2006/relationships" r:id="R9c9a46e54bd948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b33b94e2e4fd9" /><Relationship Type="http://schemas.openxmlformats.org/officeDocument/2006/relationships/footer" Target="/word/footer.xml" Id="R9c9a46e54bd948ba" /></Relationships>
</file>