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71b23ebb494b41" /></Relationships>
</file>

<file path=word/document.xml><?xml version="1.0" encoding="utf-8"?>
<w:document xmlns:w="http://schemas.openxmlformats.org/wordprocessingml/2006/main">
  <w:body>
    <w:p>
      <w:r>
        <w:t>H-0349.1</w:t>
      </w:r>
    </w:p>
    <w:p>
      <w:pPr>
        <w:jc w:val="center"/>
      </w:pPr>
      <w:r>
        <w:t>_______________________________________________</w:t>
      </w:r>
    </w:p>
    <w:p/>
    <w:p>
      <w:pPr>
        <w:jc w:val="center"/>
      </w:pPr>
      <w:r>
        <w:rPr>
          <w:b/>
        </w:rPr>
        <w:t>HOUSE BILL 1271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Muri, Bergquist, Stokesbary, MacEwen, Van Werven, Condotta, Doglio, and Buys</w:t>
      </w:r>
    </w:p>
    <w:p/>
    <w:p>
      <w:r>
        <w:rPr>
          <w:t xml:space="preserve">Read first time 01/16/17.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more equitable penalty for failure to comply with discover pass requirements by setting the penalty at a level equal to the sales price for a discover pass; and amending RCW 79A.80.080.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w:t>
      </w:r>
      <w:r>
        <w:t>((</w:t>
      </w:r>
      <w:r>
        <w:rPr>
          <w:strike/>
        </w:rPr>
        <w:t xml:space="preserve">ninety-nine dollars</w:t>
      </w:r>
      <w:r>
        <w:t>))</w:t>
      </w:r>
      <w:r>
        <w:rPr/>
        <w:t xml:space="preserve"> </w:t>
      </w:r>
      <w:r>
        <w:rPr>
          <w:u w:val="single"/>
        </w:rPr>
        <w:t xml:space="preserve">equal to the sales price for a discover pass as established under RCW 79A.80.020</w:t>
      </w:r>
      <w:r>
        <w:rPr/>
        <w:t xml:space="preserve">. This penalty must be </w:t>
      </w:r>
      <w:r>
        <w:t>((</w:t>
      </w:r>
      <w:r>
        <w:rPr>
          <w:strike/>
        </w:rPr>
        <w:t xml:space="preserve">reduced to fifty-nine dollars</w:t>
      </w:r>
      <w:r>
        <w:t>))</w:t>
      </w:r>
      <w:r>
        <w:rPr/>
        <w:t xml:space="preserve"> </w:t>
      </w:r>
      <w:r>
        <w:rPr>
          <w:u w:val="single"/>
        </w:rPr>
        <w:t xml:space="preserve">waived</w:t>
      </w:r>
      <w:r>
        <w:rPr/>
        <w:t xml:space="preserve"> if </w:t>
      </w:r>
      <w:r>
        <w:t>((</w:t>
      </w:r>
      <w:r>
        <w:rPr>
          <w:strike/>
        </w:rPr>
        <w:t xml:space="preserve">an</w:t>
      </w:r>
      <w:r>
        <w:t>))</w:t>
      </w:r>
      <w:r>
        <w:rPr/>
        <w:t xml:space="preserve"> </w:t>
      </w:r>
      <w:r>
        <w:rPr>
          <w:u w:val="single"/>
        </w:rPr>
        <w:t xml:space="preserve">the cited</w:t>
      </w:r>
      <w:r>
        <w:rPr/>
        <w:t xml:space="preserve"> individual provides proof of purchase of a discover pass to the court within fifteen days after the issuance of the notice of violation.</w:t>
      </w:r>
    </w:p>
    <w:p/>
    <w:p>
      <w:pPr>
        <w:jc w:val="center"/>
      </w:pPr>
      <w:r>
        <w:rPr>
          <w:b/>
        </w:rPr>
        <w:t>--- END ---</w:t>
      </w:r>
    </w:p>
    <w:sectPr>
      <w:pgNumType w:start="1"/>
      <w:footerReference xmlns:r="http://schemas.openxmlformats.org/officeDocument/2006/relationships" r:id="R0eddee34956f4b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7feebbcca2440a" /><Relationship Type="http://schemas.openxmlformats.org/officeDocument/2006/relationships/footer" Target="/word/footer.xml" Id="R0eddee34956f4bc5" /></Relationships>
</file>