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aa227f2c34496" /></Relationships>
</file>

<file path=word/document.xml><?xml version="1.0" encoding="utf-8"?>
<w:document xmlns:w="http://schemas.openxmlformats.org/wordprocessingml/2006/main">
  <w:body>
    <w:p>
      <w:r>
        <w:t>H-0111.1</w:t>
      </w:r>
    </w:p>
    <w:p>
      <w:pPr>
        <w:jc w:val="center"/>
      </w:pPr>
      <w:r>
        <w:t>_______________________________________________</w:t>
      </w:r>
    </w:p>
    <w:p/>
    <w:p>
      <w:pPr>
        <w:jc w:val="center"/>
      </w:pPr>
      <w:r>
        <w:rPr>
          <w:b/>
        </w:rPr>
        <w:t>HOUSE BILL 1301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McBride, Macri, Peterson, Gregerson, Goodman, Stonier, Senn, Frame, Tarleton, Jinkins, Stanford, Ormsby, Santos, Pollet, and Farrell</w:t>
      </w:r>
    </w:p>
    <w:p/>
    <w:p>
      <w:r>
        <w:rPr>
          <w:t xml:space="preserve">Read first time 01/16/17.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49.46.010, 49.46.100, and 39.12.010; reenacting and amending RCW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 The presumption created in subsection (2) of this section does not apply to this subsection.</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this section.</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w:t>
      </w:r>
      <w:r>
        <w:rPr/>
        <w:t xml:space="preserve">chapter </w:t>
      </w:r>
      <w:r>
        <w:t xml:space="preserve">49</w:t>
      </w:r>
      <w:r>
        <w:rPr/>
        <w:t xml:space="preserve">.</w:t>
      </w:r>
      <w:r>
        <w:t xml:space="preserve">48</w:t>
      </w:r>
      <w:r>
        <w:rPr/>
        <w:t xml:space="preserve"> RCW</w:t>
      </w:r>
      <w:r>
        <w:rPr/>
        <w:t xml:space="preserve">.</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t xml:space="preserve"> </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12</w:t>
      </w:r>
      <w:r>
        <w:rPr/>
        <w:t xml:space="preserve"> RCW</w:t>
      </w:r>
      <w:r>
        <w:rPr/>
        <w:t xml:space="preserve">.</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to </w:t>
      </w:r>
      <w:r>
        <w:rPr/>
        <w:t xml:space="preserve">chapter </w:t>
      </w:r>
      <w:r>
        <w:t xml:space="preserve">49</w:t>
      </w:r>
      <w:r>
        <w:rPr/>
        <w:t xml:space="preserve">.</w:t>
      </w:r>
      <w:r>
        <w:t xml:space="preserve">52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0c67522c4f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c7c6bdcfa40aa" /><Relationship Type="http://schemas.openxmlformats.org/officeDocument/2006/relationships/footer" Target="/word/footer.xml" Id="R4c0c67522c4f4c79" /></Relationships>
</file>