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18342ca0b4ccf" /></Relationships>
</file>

<file path=word/document.xml><?xml version="1.0" encoding="utf-8"?>
<w:document xmlns:w="http://schemas.openxmlformats.org/wordprocessingml/2006/main">
  <w:body>
    <w:p>
      <w:r>
        <w:t>H-0399.1</w:t>
      </w:r>
    </w:p>
    <w:p>
      <w:pPr>
        <w:jc w:val="center"/>
      </w:pPr>
      <w:r>
        <w:t>_______________________________________________</w:t>
      </w:r>
    </w:p>
    <w:p/>
    <w:p>
      <w:pPr>
        <w:jc w:val="center"/>
      </w:pPr>
      <w:r>
        <w:rPr>
          <w:b/>
        </w:rPr>
        <w:t>HOUSE BILL 1304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Gregerson, Kagi, Jinkins, Santos, Young, and Stambaugh</w:t>
      </w:r>
    </w:p>
    <w:p/>
    <w:p>
      <w:r>
        <w:rPr>
          <w:t xml:space="preserve">Read first time 01/16/17.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receiving both employment and community access services;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w:t>
      </w:r>
      <w:r>
        <w:t>((</w:t>
      </w:r>
      <w:r>
        <w:rPr>
          <w:strike/>
        </w:rPr>
        <w:t xml:space="preserve">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strike/>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strike/>
        </w:rPr>
        <w:t xml:space="preserve">(3)</w:t>
      </w:r>
      <w:r>
        <w:t>))</w:t>
      </w:r>
      <w:r>
        <w:rPr/>
        <w:t xml:space="preserve"> </w:t>
      </w:r>
      <w:r>
        <w:rPr>
          <w:u w:val="single"/>
        </w:rPr>
        <w:t xml:space="preserve">Clients of the department age twenty-one and older must have access to both employment services and community access services that are person-centered and appropriate for the needs of the individual client. Services may include a variety of supports and providers that will enable individuals to have greater access to their community, regardless of the degree of each client's disability. Clients must have access to a schedule of twenty or more hours of participation in the community per week, actual hours based on each client's person-centered plan.</w:t>
      </w:r>
    </w:p>
    <w:p>
      <w:pPr>
        <w:spacing w:before="0" w:after="0" w:line="408" w:lineRule="exact"/>
        <w:ind w:left="0" w:right="0" w:firstLine="576"/>
        <w:jc w:val="left"/>
      </w:pPr>
      <w:r>
        <w:rPr>
          <w:u w:val="single"/>
        </w:rPr>
        <w:t xml:space="preserve">(2)</w:t>
      </w:r>
      <w:r>
        <w:rPr/>
        <w:t xml:space="preserve"> The department shall inform clients and their legal representatives of all available options for employment and day services</w:t>
      </w:r>
      <w:r>
        <w:t>((</w:t>
      </w:r>
      <w:r>
        <w:rPr>
          <w:strike/>
        </w:rPr>
        <w:t xml:space="preserve">, including the opportunity to request an exception from enrollment in an employment program</w:t>
      </w:r>
      <w:r>
        <w:t>))</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The department shall work with counties and stakeholders to strengthen and expand </w:t>
      </w:r>
      <w:r>
        <w:t>((</w:t>
      </w:r>
      <w:r>
        <w:rPr>
          <w:strike/>
        </w:rPr>
        <w:t xml:space="preserve">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strike/>
        </w:rPr>
        <w:t xml:space="preserve">(5) The department shall develop rules to allow for an exception to the requirement that a client participate in an employment program for nine months prior to transitioning to a community access program</w:t>
      </w:r>
      <w:r>
        <w:t>))</w:t>
      </w:r>
      <w:r>
        <w:rPr/>
        <w:t xml:space="preserve"> </w:t>
      </w:r>
      <w:r>
        <w:rPr>
          <w:u w:val="single"/>
        </w:rPr>
        <w:t xml:space="preserve">employment services and other community access services. Community access services should emphasize supports and activities that increase community involvement, maintain or improve skills and independence, and meet the diversity of person-centered needs</w:t>
      </w:r>
      <w:r>
        <w:rPr/>
        <w:t xml:space="preserve">.</w:t>
      </w:r>
    </w:p>
    <w:p/>
    <w:p>
      <w:pPr>
        <w:jc w:val="center"/>
      </w:pPr>
      <w:r>
        <w:rPr>
          <w:b/>
        </w:rPr>
        <w:t>--- END ---</w:t>
      </w:r>
    </w:p>
    <w:sectPr>
      <w:pgNumType w:start="1"/>
      <w:footerReference xmlns:r="http://schemas.openxmlformats.org/officeDocument/2006/relationships" r:id="R46c78399782943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83b3657b743be" /><Relationship Type="http://schemas.openxmlformats.org/officeDocument/2006/relationships/footer" Target="/word/footer.xml" Id="R46c783997829435a" /></Relationships>
</file>