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8a626c32d4f6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McCaslin, Bergquist, Holy, Ryu, Stokesbary, Orwall, Volz, Haler, Stambaugh, Griffey, Chandler, Blake, Dent, McDonald, Dolan, Shea, Koster, Short, Pettigrew, Fey, Santos, Smith, Hargrove, Sells, Pollet, Muri, and Young)</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evaluations for certain educators;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w:t>
      </w:r>
      <w:r>
        <w:t>((</w:t>
      </w:r>
      <w:r>
        <w:rPr>
          <w:strike/>
        </w:rPr>
        <w:t xml:space="preserve">thereof</w:t>
      </w:r>
      <w:r>
        <w:t>))</w:t>
      </w:r>
      <w:r>
        <w:rPr/>
        <w:t xml:space="preserve">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2013-14 through 2015-16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following participants must be known as the steering committee: State associations representing teachers, principals, administrators, school board members, and parents. The committee shall cease to function July 1, 2022.</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this subsection (12)(b), classroom teachers and principals must receive a comprehensive performance evaluation at least once every four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 Any</w:t>
      </w:r>
      <w:r>
        <w:t>))</w:t>
      </w:r>
      <w:r>
        <w:rPr/>
        <w:t xml:space="preserve"> </w:t>
      </w:r>
      <w:r>
        <w:rPr>
          <w:u w:val="single"/>
        </w:rPr>
        <w:t xml:space="preserve">(D) A</w:t>
      </w:r>
      <w:r>
        <w:rPr/>
        <w:t xml:space="preserve">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u w:val="single"/>
        </w:rPr>
        <w:t xml:space="preserve">(iii) A classroom teacher who holds a valid Washington professional teaching certificate or a valid certification from the national board for professional teaching standards and a principal who holds a valid Washington professional administrator certificate, and who received a comprehensive performance rating of level 3 or above in his or her previous comprehensive performance evaluation must receive a comprehensive performance evaluation at least every six years.</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5f058266d41e41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eff08236fb4702" /><Relationship Type="http://schemas.openxmlformats.org/officeDocument/2006/relationships/footer" Target="/word/footer.xml" Id="R5f058266d41e4152" /></Relationships>
</file>