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7703888aee48ff" /></Relationships>
</file>

<file path=word/document.xml><?xml version="1.0" encoding="utf-8"?>
<w:document xmlns:w="http://schemas.openxmlformats.org/wordprocessingml/2006/main">
  <w:body>
    <w:p>
      <w:r>
        <w:t>H-4403.1</w:t>
      </w:r>
    </w:p>
    <w:p>
      <w:pPr>
        <w:jc w:val="center"/>
      </w:pPr>
      <w:r>
        <w:t>_______________________________________________</w:t>
      </w:r>
    </w:p>
    <w:p/>
    <w:p>
      <w:pPr>
        <w:jc w:val="center"/>
      </w:pPr>
      <w:r>
        <w:rPr>
          <w:b/>
        </w:rPr>
        <w:t>SECOND SUBSTITUTE HOUSE BILL 1332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Fey, Stambaugh, and Jinkins)</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dangerous objects on county roads and bridges; and adding a new section to chapter 36.85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Whenever there exists upon the right-of-way of any county road or bridge, or off the right-of-way thereof in sufficiently close proximity thereto, any structure, device, or natural or artificial thing that imminently threatens to damage or endangers the county road or bridge infrastructure or any portion thereof, or that obstructs, blocks, or threatens normal use of the roadway thereon, the structure, device, or natural or artificial thing is declared to be a public nuisance, and the county may take such action as may be necessary to effect its abatement. Any such structure, device, or natural or artificial thing considered by the county to be immediately or eminently dangerous to travel upon a county road or bridge may be immediately removed, and the removal in no event constitutes a breach of the peace or trespass.</w:t>
      </w:r>
    </w:p>
    <w:p>
      <w:pPr>
        <w:spacing w:before="0" w:after="0" w:line="408" w:lineRule="exact"/>
        <w:ind w:left="0" w:right="0" w:firstLine="576"/>
        <w:jc w:val="left"/>
      </w:pPr>
      <w:r>
        <w:rPr/>
        <w:t xml:space="preserve">(2) Logs dumped on any county road or bridge or in any county road drainage ditch due to equipment failure or for any other reason must be removed immediately. Logs remaining within the county road or bridge or rights-of-way thereof for a period of thirty days must be confiscated and removed or disposed of as directed by the county.</w:t>
      </w:r>
    </w:p>
    <w:p/>
    <w:p>
      <w:pPr>
        <w:jc w:val="center"/>
      </w:pPr>
      <w:r>
        <w:rPr>
          <w:b/>
        </w:rPr>
        <w:t>--- END ---</w:t>
      </w:r>
    </w:p>
    <w:sectPr>
      <w:pgNumType w:start="1"/>
      <w:footerReference xmlns:r="http://schemas.openxmlformats.org/officeDocument/2006/relationships" r:id="R2a0aeed233d64e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fd52d7de094799" /><Relationship Type="http://schemas.openxmlformats.org/officeDocument/2006/relationships/footer" Target="/word/footer.xml" Id="R2a0aeed233d64ed0" /></Relationships>
</file>