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7cc674d7b4337" /></Relationships>
</file>

<file path=word/document.xml><?xml version="1.0" encoding="utf-8"?>
<w:document xmlns:w="http://schemas.openxmlformats.org/wordprocessingml/2006/main">
  <w:body>
    <w:p>
      <w:r>
        <w:t>H-0110.1</w:t>
      </w:r>
    </w:p>
    <w:p>
      <w:pPr>
        <w:jc w:val="center"/>
      </w:pPr>
      <w:r>
        <w:t>_______________________________________________</w:t>
      </w:r>
    </w:p>
    <w:p/>
    <w:p>
      <w:pPr>
        <w:jc w:val="center"/>
      </w:pPr>
      <w:r>
        <w:rPr>
          <w:b/>
        </w:rPr>
        <w:t>HOUSE BILL 1343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Nealey, Appleton, Haler, Smith, Stambaugh, Sullivan, Young, Caldier, Gregerson, Hayes, Manweller, Vick, Tharinger, Klippert, Doglio, Dolan, Orwall, Dent, Stokesbary, Johnson, Stonier, Pike, Chapman, Steele, and Hargrove</w:t>
      </w:r>
    </w:p>
    <w:p/>
    <w:p>
      <w:r>
        <w:rPr>
          <w:t xml:space="preserve">Read first time 01/18/17.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by increasing the total amount of tax credits allowed under the program and making administrative changes to the program; amending RCW 82.73.020 and 82.73.030; adding a new section to chapter 82.73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small businesses in rural communities.</w:t>
      </w:r>
    </w:p>
    <w:p>
      <w:pPr>
        <w:spacing w:before="0" w:after="0" w:line="408" w:lineRule="exact"/>
        <w:ind w:left="0" w:right="0" w:firstLine="576"/>
        <w:jc w:val="left"/>
      </w:pPr>
      <w:r>
        <w:rPr/>
        <w:t xml:space="preserve">(3) If a review finds that the number of small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five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w:t>
      </w:r>
      <w:r>
        <w:rPr>
          <w:u w:val="single"/>
        </w:rPr>
        <w:t xml:space="preserve">(a)(i) Except as otherwise limited in (a)(ii) of this subsection (5), t</w:t>
      </w:r>
      <w:r>
        <w:rPr/>
        <w:t xml:space="preserve">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January 1, 2028, if a review by the joint legislative audit and review committee under section 1 of this act finds that the number of small businesses that are a part of main street communities is not equal to or more than the number that were a part of main street communities prior to the enactment of the tax preference in section 3 of this act.</w:t>
      </w:r>
    </w:p>
    <w:p>
      <w:pPr>
        <w:spacing w:before="0" w:after="0" w:line="408" w:lineRule="exact"/>
        <w:ind w:left="0" w:right="0" w:firstLine="576"/>
        <w:jc w:val="left"/>
      </w:pPr>
      <w:r>
        <w:rPr/>
        <w:t xml:space="preserve">(2) The joint legislative audit and review committee must provide written notice of the expiration date of this act to affected parties, the chief clerk of the house of representatives, the secretary of the senate, the office of the code reviser, and others as deemed appropriate by the committee.</w:t>
      </w:r>
    </w:p>
    <w:p/>
    <w:p>
      <w:pPr>
        <w:jc w:val="center"/>
      </w:pPr>
      <w:r>
        <w:rPr>
          <w:b/>
        </w:rPr>
        <w:t>--- END ---</w:t>
      </w:r>
    </w:p>
    <w:sectPr>
      <w:pgNumType w:start="1"/>
      <w:footerReference xmlns:r="http://schemas.openxmlformats.org/officeDocument/2006/relationships" r:id="R2a3853f545fa46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2ecb31d8d4c2a" /><Relationship Type="http://schemas.openxmlformats.org/officeDocument/2006/relationships/footer" Target="/word/footer.xml" Id="R2a3853f545fa4693" /></Relationships>
</file>