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6ab84374c4f6d" /></Relationships>
</file>

<file path=word/document.xml><?xml version="1.0" encoding="utf-8"?>
<w:document xmlns:w="http://schemas.openxmlformats.org/wordprocessingml/2006/main">
  <w:body>
    <w:p>
      <w:r>
        <w:t>H-0733.2</w:t>
      </w:r>
    </w:p>
    <w:p>
      <w:pPr>
        <w:jc w:val="center"/>
      </w:pPr>
      <w:r>
        <w:t>_______________________________________________</w:t>
      </w:r>
    </w:p>
    <w:p/>
    <w:p>
      <w:pPr>
        <w:jc w:val="center"/>
      </w:pPr>
      <w:r>
        <w:rPr>
          <w:b/>
        </w:rPr>
        <w:t>HOUSE BILL 1351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Vick, Springer, Barkis, Blake, Fitzgibbon, and Haler</w:t>
      </w:r>
    </w:p>
    <w:p/>
    <w:p>
      <w:r>
        <w:rPr>
          <w:t xml:space="preserve">Read first time 01/18/17.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and 66.24.363;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two hundred fifty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 sale licensees to other retail licensees.</w:t>
      </w:r>
    </w:p>
    <w:p>
      <w:pPr>
        <w:spacing w:before="0" w:after="0" w:line="408" w:lineRule="exact"/>
        <w:ind w:left="0" w:right="0" w:firstLine="576"/>
        <w:jc w:val="left"/>
      </w:pPr>
      <w:r>
        <w:rPr/>
        <w:t xml:space="preserve">(4)(a) The board may issue a combination spirits, beer, and wine license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(15)(a) A grocery store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grocery store license under this section and a spirits retail license under RCW 66.24.630 may apply for a single license pursuant to section 1 of this act instead of applying for a grocery store license under this section in addition to a spirits retail license under to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(8)(a) A beer and/or wine specialty shop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beer and/or wine specialty shop license under this section and a spirits retail license under RCW 66.24.630 may apply for a single license pursuant to section 1 of this act instead of applying for a beer and/or wine specialty shop license under this section in addition to a spirits retail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(ii) An applicant that would qualify for a spirits retail license under this section and that qualifies for a combination spirits, beer, and wine license pursuant to section 1 of this act may apply for a license pursuant to section 1 of this act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
      <w:pPr>
        <w:jc w:val="center"/>
      </w:pPr>
      <w:r>
        <w:rPr>
          <w:b/>
        </w:rPr>
        <w:t>--- END ---</w:t>
      </w:r>
    </w:p>
    <w:sectPr>
      <w:pgNumType w:start="1"/>
      <w:footerReference xmlns:r="http://schemas.openxmlformats.org/officeDocument/2006/relationships" r:id="R3484bc6b3f7f4f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616562d694563" /><Relationship Type="http://schemas.openxmlformats.org/officeDocument/2006/relationships/footer" Target="/word/footer.xml" Id="R3484bc6b3f7f4f4c" /></Relationships>
</file>