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f45dcca74a4bbb" /></Relationships>
</file>

<file path=word/document.xml><?xml version="1.0" encoding="utf-8"?>
<w:document xmlns:w="http://schemas.openxmlformats.org/wordprocessingml/2006/main">
  <w:body>
    <w:p>
      <w:r>
        <w:t>H-0799.1</w:t>
      </w:r>
    </w:p>
    <w:p>
      <w:pPr>
        <w:jc w:val="center"/>
      </w:pPr>
      <w:r>
        <w:t>_______________________________________________</w:t>
      </w:r>
    </w:p>
    <w:p/>
    <w:p>
      <w:pPr>
        <w:jc w:val="center"/>
      </w:pPr>
      <w:r>
        <w:rPr>
          <w:b/>
        </w:rPr>
        <w:t>HOUSE BILL 1354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Short, Clibborn, DeBolt, Tharinger, Caldier, Rodne, Riccelli, Harris, Appleton, Muri, Kagi, Ormsby, Stanford, and Ortiz-Self</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social and health services responses to reports of abandonment, abuse, financial exploitation, or neglect in certain long-term care settings; and amending RCW 74.34.063.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u w:val="single"/>
        </w:rPr>
        <w:t xml:space="preserve">(b) In the case of a report in an adult family home or assisted living facility, the department shall designate the unit responsible for conducting inspections under chapter 18.20 or 70.128 RCW, as applicable, as the entity to initiate the first response to a report on behalf of the department. If the initial report or investigation by the entity indicates the alleged abandonment, abuse, financial exploitation, or neglect has occurred, the entity shall immediately notify the unit of the department responsible for conducting investigations under this chapter, which shall then initiate its investigation.</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
      <w:pPr>
        <w:jc w:val="center"/>
      </w:pPr>
      <w:r>
        <w:rPr>
          <w:b/>
        </w:rPr>
        <w:t>--- END ---</w:t>
      </w:r>
    </w:p>
    <w:sectPr>
      <w:pgNumType w:start="1"/>
      <w:footerReference xmlns:r="http://schemas.openxmlformats.org/officeDocument/2006/relationships" r:id="R10dd9ac81be341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614676cb741ac" /><Relationship Type="http://schemas.openxmlformats.org/officeDocument/2006/relationships/footer" Target="/word/footer.xml" Id="R10dd9ac81be3413d" /></Relationships>
</file>