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579fe80a7424c" /></Relationships>
</file>

<file path=word/document.xml><?xml version="1.0" encoding="utf-8"?>
<w:document xmlns:w="http://schemas.openxmlformats.org/wordprocessingml/2006/main">
  <w:body>
    <w:p>
      <w:r>
        <w:t>H-0830.1</w:t>
      </w:r>
    </w:p>
    <w:p>
      <w:pPr>
        <w:jc w:val="center"/>
      </w:pPr>
      <w:r>
        <w:t>_______________________________________________</w:t>
      </w:r>
    </w:p>
    <w:p/>
    <w:p>
      <w:pPr>
        <w:jc w:val="center"/>
      </w:pPr>
      <w:r>
        <w:rPr>
          <w:b/>
        </w:rPr>
        <w:t>HOUSE BILL 1358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and Cody</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services provided pursuant to community assistance referral and education services programs; amending RCW 35.21.930;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adopt standards for the reimbursement of health care services provided to eligible clients by fire departments pursuant to a community assistance referral and education services program under RCW 35.21.930. The standards must allow payment for covered health care services provided to individuals whose medical needs do not require ambulance transport to an emergency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2015 c 93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jurisdiction in order to improve population health and advance injury and illness prevention within its community. The program should identify members of the community who use the 911 system or emergency department for low acuity assistance calls (calls that are nonemergency or nonurgent) and connect them to their primary care providers, other health care professionals, low</w:t>
      </w:r>
      <w:r>
        <w:rPr/>
        <w:noBreakHyphen/>
      </w:r>
      <w:r>
        <w:rPr/>
        <w:t xml:space="preserve">cost medication programs, and other social services. The program may partner with hospitals to reduce readmissions. The program may also provide nonemergency contact information in order to provide an alternative resource to the 911 system. The program may hire or contract with health care professionals as needed 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p>
    <w:p>
      <w:pPr>
        <w:spacing w:before="0" w:after="0" w:line="408" w:lineRule="exact"/>
        <w:ind w:left="0" w:right="0" w:firstLine="576"/>
        <w:jc w:val="left"/>
      </w:pPr>
      <w:r>
        <w:rPr/>
        <w:t xml:space="preserve">(2) </w:t>
      </w:r>
      <w:r>
        <w:t>((</w:t>
      </w:r>
      <w:r>
        <w:rPr>
          <w:strike/>
        </w:rPr>
        <w:t xml:space="preserve">A participating fire department may seek grant opportunities and private gifts</w:t>
      </w:r>
      <w:r>
        <w:t>))</w:t>
      </w:r>
      <w:r>
        <w:rPr/>
        <w:t xml:space="preserve"> </w:t>
      </w:r>
      <w:r>
        <w:rPr>
          <w:u w:val="single"/>
        </w:rPr>
        <w:t xml:space="preserve">I</w:t>
      </w:r>
      <w:r>
        <w:rPr/>
        <w:t xml:space="preserve">n order to support its community assistance referral and education services program</w:t>
      </w:r>
      <w:r>
        <w:rPr>
          <w:u w:val="single"/>
        </w:rPr>
        <w:t xml:space="preserve">, a participating fire department may seek grant opportunities and private gifts, and, by resolution or ordinance, establish and collect reasonable charges for these services</w:t>
      </w:r>
      <w:r>
        <w:rPr/>
        <w:t xml:space="preserve">.</w:t>
      </w:r>
    </w:p>
    <w:p>
      <w:pPr>
        <w:spacing w:before="0" w:after="0" w:line="408" w:lineRule="exact"/>
        <w:ind w:left="0" w:right="0" w:firstLine="576"/>
        <w:jc w:val="left"/>
      </w:pPr>
      <w:r>
        <w:rPr/>
        <w:t xml:space="preserve">(3) In developing a community assistance referral and education services program, a fire department may consult with the health workforce council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regional fire protection service authorities organized under chapter 52.26 RCW, providers of emergency medical services that levy a tax under RCW 84.52.069, and federally recognized Indian tribes.</w:t>
      </w:r>
    </w:p>
    <w:p/>
    <w:p>
      <w:pPr>
        <w:jc w:val="center"/>
      </w:pPr>
      <w:r>
        <w:rPr>
          <w:b/>
        </w:rPr>
        <w:t>--- END ---</w:t>
      </w:r>
    </w:p>
    <w:sectPr>
      <w:pgNumType w:start="1"/>
      <w:footerReference xmlns:r="http://schemas.openxmlformats.org/officeDocument/2006/relationships" r:id="Rae6e27d45ab649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f3c0cf48e443b" /><Relationship Type="http://schemas.openxmlformats.org/officeDocument/2006/relationships/footer" Target="/word/footer.xml" Id="Rae6e27d45ab6492f" /></Relationships>
</file>