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2618978d34be0" /></Relationships>
</file>

<file path=word/document.xml><?xml version="1.0" encoding="utf-8"?>
<w:document xmlns:w="http://schemas.openxmlformats.org/wordprocessingml/2006/main">
  <w:body>
    <w:p>
      <w:r>
        <w:t>H-0410.1</w:t>
      </w:r>
    </w:p>
    <w:p>
      <w:pPr>
        <w:jc w:val="center"/>
      </w:pPr>
      <w:r>
        <w:t>_______________________________________________</w:t>
      </w:r>
    </w:p>
    <w:p/>
    <w:p>
      <w:pPr>
        <w:jc w:val="center"/>
      </w:pPr>
      <w:r>
        <w:rPr>
          <w:b/>
        </w:rPr>
        <w:t>HOUSE BILL 1398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Lovick, Haler, Klippert, Rodne, Hayes, Irwin, Johnson, Griffey, Holy, Caldier, and Muri</w:t>
      </w:r>
    </w:p>
    <w:p/>
    <w:p>
      <w:r>
        <w:rPr>
          <w:t xml:space="preserve">Read first time 01/19/17.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crimes and threats against persons because of their occupation as a law enforcement officer a hate crime; amending RCW 9A.36.078, 9A.36.080, 9A.46.060, 9A.36.031, and 36.28A.030;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w:t>
      </w:r>
      <w:r>
        <w:rPr>
          <w:u w:val="single"/>
        </w:rPr>
        <w:t xml:space="preserve">occupation as a law enforcement officer,</w:t>
      </w:r>
      <w:r>
        <w:rPr/>
        <w:t xml:space="preserve"> sexual orientation, or mental, physical, or sensory handicaps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also finds that a hate crime committed against a victim because of the victim's occupation as a law enforcement officer may be identified in the same manner that a hate crime committed against a victim of another protected group is identified. Affirmative indications of hatred towards the victim's occupation as a law enforcement officer as a class is the predominant factor to consider. Other factors to consider include the perpetrator's use of language, slurs, or symbols expressing hatred towards the victim's occupation as a law enforcement officer as a class; the severity of the attack; a history of similar attacks against victims of the same occupation as a law enforcement officer by the perpetrator or a history of similar incidents in the same area; a lack of provocation; an absence of any other apparent motivation; and common sense.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malicious harassment if he or she maliciously and intentionally commits one of the following acts because of his or her perception of the victim's race, color, religion, ancestry, national origin, gender, </w:t>
      </w:r>
      <w:r>
        <w:rPr>
          <w:u w:val="single"/>
        </w:rPr>
        <w:t xml:space="preserve">occupation as a law enforcement officer,</w:t>
      </w:r>
      <w:r>
        <w:rPr/>
        <w:t xml:space="preserve"> sexual orientation, or mental, physical, or sensory handicap:</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w:t>
      </w:r>
      <w:r>
        <w:rPr>
          <w:u w:val="single"/>
        </w:rPr>
        <w:t xml:space="preserve">occupation as a law enforcement officer,</w:t>
      </w:r>
      <w:r>
        <w:rPr/>
        <w:t xml:space="preserve"> or sexual orientation, or who has the same mental, physical, or sensory handicap as the victim. Words alone do not constitute malicious harassment unless the context or circumstances surrounding the words indicate the words are a threat. Threatening words do not constitute malicious harassment if it is apparent to the victim that the person does not have the ability to carry out the threat.</w:t>
      </w:r>
    </w:p>
    <w:p>
      <w:pPr>
        <w:spacing w:before="0" w:after="0" w:line="408" w:lineRule="exact"/>
        <w:ind w:left="0" w:right="0" w:firstLine="576"/>
        <w:jc w:val="left"/>
      </w:pPr>
      <w:r>
        <w:rPr/>
        <w:t xml:space="preserve">(2) In any prosecution for malicious harassment,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w:t>
      </w:r>
      <w:r>
        <w:rPr>
          <w:u w:val="single"/>
        </w:rPr>
        <w:t xml:space="preserve">occupation as a law enforcement officer,</w:t>
      </w:r>
      <w:r>
        <w:rPr/>
        <w:t xml:space="preserve"> sexual orientation, or mental, physical, or sensory handicap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or</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or (b)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w:t>
      </w:r>
      <w:r>
        <w:rPr>
          <w:u w:val="single"/>
        </w:rPr>
        <w:t xml:space="preserve">occupation as a law enforcement officer,</w:t>
      </w:r>
      <w:r>
        <w:rPr/>
        <w:t xml:space="preserve"> or sexual orientation, or had a mental, physical, or sensory handicap.</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"Sexual orientation" has the same meaning as in RCW 49.60.040.</w:t>
      </w:r>
    </w:p>
    <w:p>
      <w:pPr>
        <w:spacing w:before="0" w:after="0" w:line="408" w:lineRule="exact"/>
        <w:ind w:left="0" w:right="0" w:firstLine="576"/>
        <w:jc w:val="left"/>
      </w:pPr>
      <w:r>
        <w:rPr/>
        <w:t xml:space="preserve">(b)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Malicious harassment is a class C felony.</w:t>
      </w:r>
    </w:p>
    <w:p>
      <w:pPr>
        <w:spacing w:before="0" w:after="0" w:line="408" w:lineRule="exact"/>
        <w:ind w:left="0" w:right="0" w:firstLine="576"/>
        <w:jc w:val="left"/>
      </w:pPr>
      <w:r>
        <w:rPr/>
        <w:t xml:space="preserve">(8) The penalties provided in this section for malicious harassment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Malicious harassment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w:t>
      </w:r>
      <w:r>
        <w:rPr>
          <w:u w:val="single"/>
        </w:rPr>
        <w:t xml:space="preserve">Assault in the third degree involving a law enforcement officer (RCW 9A.36.031);</w:t>
      </w:r>
    </w:p>
    <w:p>
      <w:pPr>
        <w:spacing w:before="0" w:after="0" w:line="408" w:lineRule="exact"/>
        <w:ind w:left="0" w:right="0" w:firstLine="576"/>
        <w:jc w:val="left"/>
      </w:pPr>
      <w:r>
        <w:rPr>
          <w:u w:val="single"/>
        </w:rPr>
        <w:t xml:space="preserve">(10)</w:t>
      </w:r>
      <w:r>
        <w:rPr/>
        <w:t xml:space="preserve"> Reckless endangerment (RCW 9A.36.050);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Extortion in the first degree (RCW 9A.56.120);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Extortion in the second degree (RCW 9A.56.130);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Coercion (RCW 9A.36.070);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Burglary in the first degree (RCW 9A.52.020);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Burglary in the second degree (RCW 9A.52.030);</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Criminal trespass in the first degree (RCW 9A.52.070);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Criminal trespass in the second degree (RCW 9A.52.080);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Malicious mischief in the first degree (RCW 9A.48.070);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Malicious mischief in the second degree (RCW 9A.48.080);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Malicious mischief in the third degree (RCW 9A.48.090);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Kidnapping in the first degree (RCW 9A.40.020);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Kidnapping in the second degree (RCW 9A.40.030);</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Unlawful imprisonment (RCW 9A.40.040);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Rape in the first degree (RCW 9A.44.040);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Rape in the second degree (RCW 9A.44.050);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Rape in the third degree (RCW 9A.44.060);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Indecent liberties (RCW 9A.44.100);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Rape of a child in the first degree (RCW 9A.44.073);</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Rape of a child in the second degree (RCW 9A.44.076);</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Rape of a child in the third degree (RCW 9A.44.079);</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Child molestation in the first degree (RCW 9A.44.083);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Child molestation in the second degree (RCW 9A.44.086);</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Child molestation in the third degree (RCW 9A.44.089);</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Stalking (RCW 9A.46.110);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Cyberstalking (RCW 9.61.260);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Residential burglary (RCW 9A.52.025);</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of a temporary, permanent, or final protective order issued pursuant to chapter 7.90, 9A.46, 10.14, 10.99, 26.09, or 26.50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Unlawful discharge of a laser in the first degree (RCW 9A.49.020); and</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w:t>
      </w:r>
      <w:r>
        <w:rPr>
          <w:u w:val="single"/>
        </w:rPr>
        <w:t xml:space="preserve">With criminal negligence, causes bodily harm accompanied by substantial pain that extends for a period sufficient to cause considerable suffering; or</w:t>
      </w:r>
    </w:p>
    <w:p>
      <w:pPr>
        <w:spacing w:before="0" w:after="0" w:line="408" w:lineRule="exact"/>
        <w:ind w:left="0" w:right="0" w:firstLine="576"/>
        <w:jc w:val="left"/>
      </w:pPr>
      <w:r>
        <w:rPr>
          <w:u w:val="single"/>
        </w:rPr>
        <w:t xml:space="preserve">(c)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u w:val="single"/>
        </w:rPr>
        <w:t xml:space="preserve">(d)</w:t>
      </w:r>
      <w:r>
        <w:rPr/>
        <w:t xml:space="preserve">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t>((</w:t>
      </w:r>
      <w:r>
        <w:rPr>
          <w:strike/>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t>((</w:t>
      </w:r>
      <w:r>
        <w:rPr>
          <w:strike/>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strike/>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strike/>
        </w:rPr>
        <w:t xml:space="preserve">(h)</w:t>
      </w:r>
      <w:r>
        <w:t>))</w:t>
      </w:r>
      <w:r>
        <w:rPr/>
        <w:t xml:space="preserve"> </w:t>
      </w:r>
      <w:r>
        <w:rPr>
          <w:u w:val="single"/>
        </w:rPr>
        <w:t xml:space="preserve">(g)</w:t>
      </w:r>
      <w:r>
        <w:rPr/>
        <w:t xml:space="preserve"> Assaults a peace officer with a projectile stun gun; or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w:t>
      </w:r>
      <w:r>
        <w:rPr>
          <w:u w:val="single"/>
        </w:rPr>
        <w:t xml:space="preserve">occupation as a law enforcement officer,</w:t>
      </w:r>
      <w:r>
        <w:rPr/>
        <w:t xml:space="preserve"> sexual orientation, or had a mental, physical, or sensory handicap.</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4246c884e2345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63d1925604b4f" /><Relationship Type="http://schemas.openxmlformats.org/officeDocument/2006/relationships/footer" Target="/word/footer.xml" Id="R34246c884e234576" /></Relationships>
</file>