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c72326c474f8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Pollet, Haler, Tarleton, Fey, Sells, Orwall, Ryu, Stanford, and Dolan)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28C.10.050 and 28C.10.110; adding new sections to chapter 28B.85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and this act incorporates some of the findings and recommendations from the first phase of the report, including the benefits of ensuring that recruitment advertising and materials are consistent with state and federal verified data. This act also authorizes the second part of the study, as recommended by the center, including discussions of agency jurisdiction and consistency.</w:t>
      </w:r>
    </w:p>
    <w:p>
      <w:pPr>
        <w:spacing w:before="0" w:after="0" w:line="408" w:lineRule="exact"/>
        <w:ind w:left="0" w:right="0" w:firstLine="576"/>
        <w:jc w:val="left"/>
      </w:pPr>
      <w:r>
        <w:rPr/>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student achievement council must continue administering the two-part study of for-profit degree-granting institutions and private vocational schools that was authorized under section 609, chapter 36, Laws of 2016 sp. sess.</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If a degree-granting institution authorized to operate under this chapter presents data about its completion rates, employment rates, loan or indebtedness metrics, or its graduates' median hourly and annual earnings, the posted data must be consistent with the data posted on the workforce training and education coordinating board's career bridge web site or the data posted by the United States department of education, if the board or the department of education has posted such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and</w:t>
      </w:r>
    </w:p>
    <w:p>
      <w:pPr>
        <w:spacing w:before="0" w:after="0" w:line="408" w:lineRule="exact"/>
        <w:ind w:left="0" w:right="0" w:firstLine="576"/>
        <w:jc w:val="left"/>
      </w:pPr>
      <w:r>
        <w:rPr/>
        <w:t xml:space="preserve">(j) Comply with the requirements related to qualifications of administrators and instructors.</w:t>
      </w:r>
    </w:p>
    <w:p>
      <w:pPr>
        <w:spacing w:before="0" w:after="0" w:line="408" w:lineRule="exact"/>
        <w:ind w:left="0" w:right="0" w:firstLine="576"/>
        <w:jc w:val="left"/>
      </w:pPr>
      <w:r>
        <w:rPr/>
        <w:t xml:space="preserve">(3) The agency may deny a private vocational school's application for licensure if the school fails to meet the requirements in this section.</w:t>
      </w:r>
    </w:p>
    <w:p>
      <w:pPr>
        <w:spacing w:before="0" w:after="0" w:line="408" w:lineRule="exact"/>
        <w:ind w:left="0" w:right="0" w:firstLine="576"/>
        <w:jc w:val="left"/>
      </w:pPr>
      <w:r>
        <w:rPr/>
        <w:t xml:space="preserve">(4)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rPr/>
        <w:t xml:space="preserve">(5)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degree or certificate; the acceptance of a degree or certificate by employers as a qualification for employment; the acceptance of courses, a degree,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or</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p>
    <w:p/>
    <w:p>
      <w:pPr>
        <w:jc w:val="center"/>
      </w:pPr>
      <w:r>
        <w:rPr>
          <w:b/>
        </w:rPr>
        <w:t>--- END ---</w:t>
      </w:r>
    </w:p>
    <w:sectPr>
      <w:pgNumType w:start="1"/>
      <w:footerReference xmlns:r="http://schemas.openxmlformats.org/officeDocument/2006/relationships" r:id="Rb5fef6af5e6f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ef86c9ed842be" /><Relationship Type="http://schemas.openxmlformats.org/officeDocument/2006/relationships/footer" Target="/word/footer.xml" Id="Rb5fef6af5e6f4403" /></Relationships>
</file>