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d59ce4b9454b1e" /></Relationships>
</file>

<file path=word/document.xml><?xml version="1.0" encoding="utf-8"?>
<w:document xmlns:w="http://schemas.openxmlformats.org/wordprocessingml/2006/main">
  <w:body>
    <w:p>
      <w:r>
        <w:t>Z-0077.2</w:t>
      </w:r>
    </w:p>
    <w:p>
      <w:pPr>
        <w:jc w:val="center"/>
      </w:pPr>
      <w:r>
        <w:t>_______________________________________________</w:t>
      </w:r>
    </w:p>
    <w:p/>
    <w:p>
      <w:pPr>
        <w:jc w:val="center"/>
      </w:pPr>
      <w:r>
        <w:rPr>
          <w:b/>
        </w:rPr>
        <w:t>HOUSE BILL 1478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Klippert, Goodman, Johnson, Griffey, J. Walsh, Fitzgibbon, Sells, and McCabe; by request of Parks and Recreation Commission</w:t>
      </w:r>
    </w:p>
    <w:p/>
    <w:p>
      <w:r>
        <w:rPr>
          <w:t xml:space="preserve">Read first time 01/20/17.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monetary penalties to local courts and state agencies paid for failure to comply with discover pass requirements; and amending RCW 7.84.100.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2012 c 262 s 2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five hundred dollars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The maximum penalty imposed by the schedule shall be five hundred dollars per infraction and the minimum penalty imposed by the schedule shall be ten dollars per infraction. This schedule may be periodically reviewed by the legislature and is subject to its revision.</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rPr/>
        <w:t xml:space="preserve">(4)</w:t>
      </w:r>
      <w:r>
        <w:rPr>
          <w:u w:val="single"/>
        </w:rPr>
        <w:t xml:space="preserve">(a) For counties with a population of less than one hundred thousand on the effective date of this section, the county treasurer shall remit seventy-five percent of the money received under RCW 79A.80.080(5) to the state treasurer. In all other counties, t</w:t>
      </w:r>
      <w:r>
        <w:rPr/>
        <w:t xml:space="preserve">he county treasurer shall remit </w:t>
      </w:r>
      <w:r>
        <w:t>((</w:t>
      </w:r>
      <w:r>
        <w:rPr>
          <w:strike/>
        </w:rPr>
        <w:t xml:space="preserve">the</w:t>
      </w:r>
      <w:r>
        <w:t>))</w:t>
      </w:r>
      <w:r>
        <w:rPr/>
        <w:t xml:space="preserve"> </w:t>
      </w:r>
      <w:r>
        <w:rPr>
          <w:u w:val="single"/>
        </w:rPr>
        <w:t xml:space="preserve">all</w:t>
      </w:r>
      <w:r>
        <w:rPr/>
        <w:t xml:space="preserve"> money received under RCW 79A.80.080(5) to the state treasurer.</w:t>
      </w:r>
    </w:p>
    <w:p>
      <w:pPr>
        <w:spacing w:before="0" w:after="0" w:line="408" w:lineRule="exact"/>
        <w:ind w:left="0" w:right="0" w:firstLine="576"/>
        <w:jc w:val="left"/>
      </w:pPr>
      <w:r>
        <w:rPr>
          <w:u w:val="single"/>
        </w:rPr>
        <w:t xml:space="preserve">(b)</w:t>
      </w:r>
      <w:r>
        <w:rPr/>
        <w:t xml:space="preserve"> Money remitted under this subsection to the state treasurer must be deposited in the recreation access pass account established under RCW 79A.80.090. </w:t>
      </w:r>
      <w:r>
        <w:rPr>
          <w:u w:val="single"/>
        </w:rPr>
        <w:t xml:space="preserve">The balance of the noninterest money received by the county treasurer must be deposited in the county current expense fund.</w:t>
      </w:r>
    </w:p>
    <w:p/>
    <w:p>
      <w:pPr>
        <w:jc w:val="center"/>
      </w:pPr>
      <w:r>
        <w:rPr>
          <w:b/>
        </w:rPr>
        <w:t>--- END ---</w:t>
      </w:r>
    </w:p>
    <w:sectPr>
      <w:pgNumType w:start="1"/>
      <w:footerReference xmlns:r="http://schemas.openxmlformats.org/officeDocument/2006/relationships" r:id="R0355cda04c5a42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0fff0f34b14e5b" /><Relationship Type="http://schemas.openxmlformats.org/officeDocument/2006/relationships/footer" Target="/word/footer.xml" Id="R0355cda04c5a4274" /></Relationships>
</file>