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7996348714e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1482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Sawyer, Kagi, Stambaugh, Caldier, Robinson, Springer, Hargrove, Tarleton, Ormsby, Doglio, and Stanford)</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and 74.08A.341;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(5) "Partner agency" means an executive branch agency represented by a voting or nonvoting member of the task force.</w:t>
      </w:r>
    </w:p>
    <w:p>
      <w:pPr>
        <w:spacing w:before="0" w:after="0" w:line="408" w:lineRule="exact"/>
        <w:ind w:left="0" w:right="0" w:firstLine="576"/>
        <w:jc w:val="left"/>
      </w:pPr>
      <w:r>
        <w:rPr/>
        <w:t xml:space="preserve">(6) "Secretary" means the secretary of the department of social and health services.</w:t>
      </w:r>
    </w:p>
    <w:p>
      <w:pPr>
        <w:spacing w:before="0" w:after="0" w:line="408" w:lineRule="exact"/>
        <w:ind w:left="0" w:right="0" w:firstLine="576"/>
        <w:jc w:val="left"/>
      </w:pPr>
      <w:r>
        <w:rPr/>
        <w:t xml:space="preserve">(7) "Task force" means the legislative-executive WorkFirst poverty reduction oversight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five nonvoting members to the task force representing the:</w:t>
      </w:r>
    </w:p>
    <w:p>
      <w:pPr>
        <w:spacing w:before="0" w:after="0" w:line="408" w:lineRule="exact"/>
        <w:ind w:left="0" w:right="0" w:firstLine="576"/>
        <w:jc w:val="left"/>
      </w:pPr>
      <w:r>
        <w:rPr/>
        <w:t xml:space="preserve">(a) Commission on African-American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and</w:t>
      </w:r>
    </w:p>
    <w:p>
      <w:pPr>
        <w:spacing w:before="0" w:after="0" w:line="408" w:lineRule="exact"/>
        <w:ind w:left="0" w:right="0" w:firstLine="576"/>
        <w:jc w:val="left"/>
      </w:pPr>
      <w:r>
        <w:rPr/>
        <w:t xml:space="preserve">(e) Office of financial management.</w:t>
      </w:r>
    </w:p>
    <w:p>
      <w:pPr>
        <w:spacing w:before="0" w:after="0" w:line="408" w:lineRule="exact"/>
        <w:ind w:left="0" w:right="0" w:firstLine="576"/>
        <w:jc w:val="left"/>
      </w:pPr>
      <w:r>
        <w:rPr/>
        <w:t xml:space="preserve">(3) The cochairs of the intergenerational poverty advisory committee created in section 4 of this act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section 4 of this act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its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section 3 of this act,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A subject matter expert in infant mental health;</w:t>
      </w:r>
    </w:p>
    <w:p>
      <w:pPr>
        <w:spacing w:before="0" w:after="0" w:line="408" w:lineRule="exact"/>
        <w:ind w:left="0" w:right="0" w:firstLine="576"/>
        <w:jc w:val="left"/>
      </w:pPr>
      <w:r>
        <w:rPr/>
        <w:t xml:space="preserve">(j) The department of children, youth, and families; and</w:t>
      </w:r>
    </w:p>
    <w:p>
      <w:pPr>
        <w:spacing w:before="0" w:after="0" w:line="408" w:lineRule="exact"/>
        <w:ind w:left="0" w:right="0" w:firstLine="576"/>
        <w:jc w:val="left"/>
      </w:pPr>
      <w:r>
        <w:rPr/>
        <w:t xml:space="preserve">(k)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section 3 of this act;</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w:t>
      </w:r>
      <w:r>
        <w:t>((</w:t>
      </w:r>
      <w:r>
        <w:rPr>
          <w:strike/>
        </w:rPr>
        <w:t xml:space="preserve">(a)</w:t>
      </w:r>
      <w:r>
        <w:t>))</w:t>
      </w:r>
      <w:r>
        <w:rPr/>
        <w:t xml:space="preserve">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t>((</w:t>
      </w: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strike/>
        </w:rPr>
        <w:t xml:space="preserve">(ii) The president of the senate shall appoint two members from each of the two largest caucuses of the senate.</w:t>
      </w:r>
    </w:p>
    <w:p>
      <w:pPr>
        <w:spacing w:before="0" w:after="0" w:line="408" w:lineRule="exact"/>
        <w:ind w:left="0" w:right="0" w:firstLine="576"/>
        <w:jc w:val="left"/>
      </w:pPr>
      <w:r>
        <w:rPr>
          <w:strike/>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strike/>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strike/>
        </w:rPr>
        <w:t xml:space="preserve">(c) The task force shall:</w:t>
      </w:r>
    </w:p>
    <w:p>
      <w:pPr>
        <w:spacing w:before="0" w:after="0" w:line="408" w:lineRule="exact"/>
        <w:ind w:left="0" w:right="0" w:firstLine="576"/>
        <w:jc w:val="left"/>
      </w:pPr>
      <w:r>
        <w:rPr>
          <w:strike/>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strike/>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strike/>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strike/>
        </w:rPr>
        <w:t xml:space="preserve">(iv) Make recommendations to the governor and the legislature regarding:</w:t>
      </w:r>
    </w:p>
    <w:p>
      <w:pPr>
        <w:spacing w:before="0" w:after="0" w:line="408" w:lineRule="exact"/>
        <w:ind w:left="0" w:right="0" w:firstLine="576"/>
        <w:jc w:val="left"/>
      </w:pPr>
      <w:r>
        <w:rPr>
          <w:strike/>
        </w:rPr>
        <w:t xml:space="preserve">(A) Policies to improve the effectiveness of the WorkFirst program over time;</w:t>
      </w:r>
    </w:p>
    <w:p>
      <w:pPr>
        <w:spacing w:before="0" w:after="0" w:line="408" w:lineRule="exact"/>
        <w:ind w:left="0" w:right="0" w:firstLine="576"/>
        <w:jc w:val="left"/>
      </w:pPr>
      <w:r>
        <w:rPr>
          <w:strike/>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strike/>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strike/>
        </w:rPr>
        <w:t xml:space="preserve">(d) The partner agencies must provide the task force with regular reports on:</w:t>
      </w:r>
    </w:p>
    <w:p>
      <w:pPr>
        <w:spacing w:before="0" w:after="0" w:line="408" w:lineRule="exact"/>
        <w:ind w:left="0" w:right="0" w:firstLine="576"/>
        <w:jc w:val="left"/>
      </w:pPr>
      <w:r>
        <w:rPr>
          <w:strike/>
        </w:rPr>
        <w:t xml:space="preserve">(i) The partner agencies' progress toward meeting the outcome and performance measures established under (c) of this subsection;</w:t>
      </w:r>
    </w:p>
    <w:p>
      <w:pPr>
        <w:spacing w:before="0" w:after="0" w:line="408" w:lineRule="exact"/>
        <w:ind w:left="0" w:right="0" w:firstLine="576"/>
        <w:jc w:val="left"/>
      </w:pPr>
      <w:r>
        <w:rPr>
          <w:strike/>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strike/>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strike/>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strike/>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strike/>
        </w:rPr>
        <w:t xml:space="preserve">(g) During its tenure, the state agency members of the task force shall respond in a timely manner to data requests from the cochairs.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w:t>
      </w:r>
      <w:r>
        <w:rPr>
          <w:u w:val="single"/>
        </w:rPr>
        <w:t xml:space="preserve">poverty reduction</w:t>
      </w:r>
      <w:r>
        <w:rPr/>
        <w:t xml:space="preserve">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w:t>
      </w:r>
      <w:r>
        <w:rPr>
          <w:u w:val="single"/>
        </w:rPr>
        <w:t xml:space="preserve">poverty reduction</w:t>
      </w:r>
      <w:r>
        <w:rPr/>
        <w:t xml:space="preserve">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
      <w:pPr>
        <w:jc w:val="center"/>
      </w:pPr>
      <w:r>
        <w:rPr>
          <w:b/>
        </w:rPr>
        <w:t>--- END ---</w:t>
      </w:r>
    </w:p>
    <w:sectPr>
      <w:pgNumType w:start="1"/>
      <w:footerReference xmlns:r="http://schemas.openxmlformats.org/officeDocument/2006/relationships" r:id="R5a5c836b8fdd44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a369b40874b1d" /><Relationship Type="http://schemas.openxmlformats.org/officeDocument/2006/relationships/footer" Target="/word/footer.xml" Id="R5a5c836b8fdd4472" /></Relationships>
</file>