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ced7522354239" /></Relationships>
</file>

<file path=word/document.xml><?xml version="1.0" encoding="utf-8"?>
<w:document xmlns:w="http://schemas.openxmlformats.org/wordprocessingml/2006/main">
  <w:body>
    <w:p>
      <w:r>
        <w:t>H-4052.1</w:t>
      </w:r>
    </w:p>
    <w:p>
      <w:pPr>
        <w:jc w:val="center"/>
      </w:pPr>
      <w:r>
        <w:t>_______________________________________________</w:t>
      </w:r>
    </w:p>
    <w:p/>
    <w:p>
      <w:pPr>
        <w:jc w:val="center"/>
      </w:pPr>
      <w:r>
        <w:rPr>
          <w:b/>
        </w:rPr>
        <w:t>SECOND SUBSTITUTE HOUSE BILL 1486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Gregerson, Ryu, Peterson, Orwall, Sells, Stonier, Dolan, Frame, Chapman, Goodman, Macri, Cody, Appleton, Tarleton, Ormsby, Bergquist, Hudgins, Doglio, and Stanford)</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adding a new section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62A.1-201(b)(9);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by operation of this chapter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or other description reasonably calculated to identify, for a person familiar with the area, the location of the real property to be charged with the wage lien;</w:t>
      </w:r>
    </w:p>
    <w:p>
      <w:pPr>
        <w:spacing w:before="0" w:after="0" w:line="408" w:lineRule="exact"/>
        <w:ind w:left="0" w:right="0" w:firstLine="576"/>
        <w:jc w:val="left"/>
      </w:pPr>
      <w:r>
        <w:rPr/>
        <w:t xml:space="preserve">(iv) The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other than a vehicle or vessel,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department of licensing;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To establish a wage lien on a vehicle or vessel, the lien claimant must:</w:t>
      </w:r>
    </w:p>
    <w:p>
      <w:pPr>
        <w:spacing w:before="0" w:after="0" w:line="408" w:lineRule="exact"/>
        <w:ind w:left="0" w:right="0" w:firstLine="576"/>
        <w:jc w:val="left"/>
      </w:pPr>
      <w:r>
        <w:rPr/>
        <w:t xml:space="preserve">(a) File for recording a notice of claim of wage lien with the office of the auditor of the county in which the vessel or vehicle is kept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vehicle or vessel subject to the wage lien;</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(4)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subsection (2) of this 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subsections (1)(a) and (3)(a) of this section:</w:t>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14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5.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6.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other than a vehicle or vessel filed under this section, the department of licensing shall record the notice. For a notice of claim of wage lien on a vehicle or vessel, the office of the auditor of the county where the vehicle or vessel is kept shall record the notice.</w:t>
      </w:r>
    </w:p>
    <w:p>
      <w:pPr>
        <w:spacing w:before="0" w:after="0" w:line="408" w:lineRule="exact"/>
        <w:ind w:left="0" w:right="0" w:firstLine="576"/>
        <w:jc w:val="left"/>
      </w:pPr>
      <w:r>
        <w:rPr/>
        <w:t xml:space="preserve">(5) The notice of claim of wage lien may be filed at any time prior to the expiration of the statute of limitations for an action to recover the wages that are the subject of the wage lien.</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(2) Except as provided in subsection (3) of this section, if the claimant has instituted an action in a court of this state for the wage claim that is the subject of the wage lien, that action shall be deemed an action to foreclose on any property subject to the lien. An action to foreclose the wage lien must be filed within one year of the date the wage lien was recorded.</w:t>
      </w:r>
    </w:p>
    <w:p>
      <w:pPr>
        <w:spacing w:before="0" w:after="0" w:line="408" w:lineRule="exact"/>
        <w:ind w:left="0" w:right="0" w:firstLine="576"/>
        <w:jc w:val="left"/>
      </w:pPr>
      <w:r>
        <w:rPr/>
        <w:t xml:space="preserve">(3) If the claimant receives a judgment on a wage claim from a court in this state, a municipal court in this state, or a federal court, that does not have jurisdiction over the claimant's wage lien, the action to foreclose the wage lien must be filed within one year of the date of that court's judgment.</w:t>
      </w:r>
    </w:p>
    <w:p>
      <w:pPr>
        <w:spacing w:before="0" w:after="0" w:line="408" w:lineRule="exact"/>
        <w:ind w:left="0" w:right="0" w:firstLine="576"/>
        <w:jc w:val="left"/>
      </w:pPr>
      <w:r>
        <w:rPr/>
        <w:t xml:space="preserve">(4) A foreclosure action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(5)(a) If the employee obtains a judgment from a federal, state, or municipal court, the judgment establishes the amount owed for the purposes of foreclosure under this chapter.</w:t>
      </w:r>
    </w:p>
    <w:p>
      <w:pPr>
        <w:spacing w:before="0" w:after="0" w:line="408" w:lineRule="exact"/>
        <w:ind w:left="0" w:right="0" w:firstLine="576"/>
        <w:jc w:val="left"/>
      </w:pPr>
      <w:r>
        <w:rPr/>
        <w:t xml:space="preserve">(b) If the employee pursues the wage claim in an administrative proceeding before the department, a final and binding citation issued by the department establishes the amount owed for the purpose of foreclosure under this chapter only if the department brings the foreclosure action on behalf of the employee.</w:t>
      </w:r>
    </w:p>
    <w:p>
      <w:pPr>
        <w:spacing w:before="0" w:after="0" w:line="408" w:lineRule="exact"/>
        <w:ind w:left="0" w:right="0" w:firstLine="576"/>
        <w:jc w:val="left"/>
      </w:pPr>
      <w:r>
        <w:rPr/>
        <w:t xml:space="preserve">(6)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(7) In an action to foreclose on a wage lien on a vehicle or vessel, the lien claimant must comply with the requirements of the department of licensing regarding transferring title and taking ownership of the vehicle or vessel.</w:t>
      </w:r>
    </w:p>
    <w:p>
      <w:pPr>
        <w:spacing w:before="0" w:after="0" w:line="408" w:lineRule="exact"/>
        <w:ind w:left="0" w:right="0" w:firstLine="576"/>
        <w:jc w:val="left"/>
      </w:pPr>
      <w:r>
        <w:rPr/>
        <w:t xml:space="preserve">(8)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filing of the wage lien;</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 and</w:t>
      </w:r>
    </w:p>
    <w:p>
      <w:pPr>
        <w:spacing w:before="0" w:after="0" w:line="408" w:lineRule="exact"/>
        <w:ind w:left="0" w:right="0" w:firstLine="576"/>
        <w:jc w:val="left"/>
      </w:pPr>
      <w:r>
        <w:rPr/>
        <w:t xml:space="preserve">(vii) A certified acknowledgment as set forth in subsection (4) of this section.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 A release of wage lien substantially in the following form is sufficient:</w:t>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mortgages were perfected prior to the wage lien. A wage lien recorded under this chapter has priority over a lien or security interest of a financial institution only up to four percent of the financial institution's security interest in the property that is encumbered by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does not have priority over a lien for taxes that the department of revenue is authorized or required to collect and that originates before a lien recorded under this chapter. </w:t>
      </w:r>
    </w:p>
    <w:p>
      <w:pPr>
        <w:spacing w:before="0" w:after="0" w:line="408" w:lineRule="exact"/>
        <w:ind w:left="0" w:right="0" w:firstLine="576"/>
        <w:jc w:val="left"/>
      </w:pPr>
      <w:r>
        <w:rPr/>
        <w:t xml:space="preserve">(b)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7 of this act that are applicable to the department, the department may, by rule, create wage lien forms specific to the department,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4c6a35efa96a42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2fcfca328d4e4c" /><Relationship Type="http://schemas.openxmlformats.org/officeDocument/2006/relationships/footer" Target="/word/footer.xml" Id="R4c6a35efa96a42e2" /></Relationships>
</file>