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48739084324d56" /></Relationships>
</file>

<file path=word/document.xml><?xml version="1.0" encoding="utf-8"?>
<w:document xmlns:w="http://schemas.openxmlformats.org/wordprocessingml/2006/main">
  <w:body>
    <w:p>
      <w:r>
        <w:t>H-2169.1</w:t>
      </w:r>
    </w:p>
    <w:p>
      <w:pPr>
        <w:jc w:val="center"/>
      </w:pPr>
      <w:r>
        <w:t>_______________________________________________</w:t>
      </w:r>
    </w:p>
    <w:p/>
    <w:p>
      <w:pPr>
        <w:jc w:val="center"/>
      </w:pPr>
      <w:r>
        <w:rPr>
          <w:b/>
        </w:rPr>
        <w:t>SECOND SUBSTITUTE HOUSE BILL 1488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Hansen, Haler, Stokesbary, Ortiz-Self, Gregerson, Tarleton, Slatter, and Hudgins)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amending RCW 28B.118.010 and 28B.145.030;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rPr/>
        <w:t xml:space="preserve">.</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3rd sp.s. c 8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(l)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with a deceased member of the uniformed services who completed at least ninety days of active duty service and died in the line of duty, and the student enters an institution of higher education in Washington within three years of the service member's death;</w:t>
      </w:r>
    </w:p>
    <w:p>
      <w:pPr>
        <w:spacing w:before="0" w:after="0" w:line="408" w:lineRule="exact"/>
        <w:ind w:left="0" w:right="0" w:firstLine="576"/>
        <w:jc w:val="left"/>
      </w:pPr>
      <w:r>
        <w:rPr/>
        <w:t xml:space="preserve">(n)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(o)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(p)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(q)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(2)(k), (l), or (m)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(2)(k), (l), or (m)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(n)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t>
      </w:r>
      <w:r>
        <w:rPr>
          <w:u w:val="single"/>
        </w:rPr>
        <w:t xml:space="preserve">or U or T nonimmigrant status</w:t>
      </w:r>
      <w:r>
        <w:rPr/>
        <w:t xml:space="preserve"> with the United States citizenship immigration services or is not otherwise permanently residing in the United States under color of law</w:t>
      </w:r>
      <w:r>
        <w:rPr>
          <w:u w:val="single"/>
        </w:rPr>
        <w:t xml:space="preserve">, including deferred action status,</w:t>
      </w:r>
      <w:r>
        <w:rPr/>
        <w:t xml:space="preserve"> and who does not also meet and comply with all the applicable requirements in this section and RCW 28B.15.013.</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2aa5f4af13c42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9867b663a45d6" /><Relationship Type="http://schemas.openxmlformats.org/officeDocument/2006/relationships/footer" Target="/word/footer.xml" Id="R12aa5f4af13c4215" /></Relationships>
</file>