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fa15766135422b" /></Relationships>
</file>

<file path=word/document.xml><?xml version="1.0" encoding="utf-8"?>
<w:document xmlns:w="http://schemas.openxmlformats.org/wordprocessingml/2006/main">
  <w:body>
    <w:p>
      <w:r>
        <w:t>H-0939.1</w:t>
      </w:r>
    </w:p>
    <w:p>
      <w:pPr>
        <w:jc w:val="center"/>
      </w:pPr>
      <w:r>
        <w:t>_______________________________________________</w:t>
      </w:r>
    </w:p>
    <w:p/>
    <w:p>
      <w:pPr>
        <w:jc w:val="center"/>
      </w:pPr>
      <w:r>
        <w:rPr>
          <w:b/>
        </w:rPr>
        <w:t>HOUSE BILL 1497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 Walsh, Blake, Orcutt, Griffey, Young, Haler, and Muri</w:t>
      </w:r>
    </w:p>
    <w:p/>
    <w:p>
      <w:r>
        <w:rPr>
          <w:t xml:space="preserve">Read first time 01/20/17.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sales and use tax exemptions, in the form of a remittance of tax paid, to encourage coal-fired electric generation plants to convert to natural gas-fired plants or biomass energy facilities; amending RCW 82.14.050 and 82.14.060; adding a new section to chapter 82.08 RCW; adding a new section to chapter 82.12 RCW; adding a new section to chapter 82.32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sections 2 and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create or retain jobs, as indicated in RCW 82.32.808(2)(c).</w:t>
      </w:r>
    </w:p>
    <w:p>
      <w:pPr>
        <w:spacing w:before="0" w:after="0" w:line="408" w:lineRule="exact"/>
        <w:ind w:left="0" w:right="0" w:firstLine="576"/>
        <w:jc w:val="left"/>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spacing w:before="0" w:after="0" w:line="408" w:lineRule="exact"/>
        <w:ind w:left="0" w:right="0" w:firstLine="576"/>
        <w:jc w:val="left"/>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82.08.020 on the sale of or charge made for:</w:t>
      </w:r>
    </w:p>
    <w:p>
      <w:pPr>
        <w:spacing w:before="0" w:after="0" w:line="408" w:lineRule="exact"/>
        <w:ind w:left="0" w:right="0" w:firstLine="576"/>
        <w:jc w:val="left"/>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spacing w:before="0" w:after="0" w:line="408" w:lineRule="exact"/>
        <w:ind w:left="0" w:right="0" w:firstLine="576"/>
        <w:jc w:val="left"/>
      </w:pPr>
      <w:r>
        <w:rPr/>
        <w:t xml:space="preserve">(b) Materials that will be incorporated as an ingredient or component of new or existing structures during the course of such constructing, expanding, or renovating; or</w:t>
      </w:r>
    </w:p>
    <w:p>
      <w:pPr>
        <w:spacing w:before="0" w:after="0" w:line="408" w:lineRule="exact"/>
        <w:ind w:left="0" w:right="0" w:firstLine="576"/>
        <w:jc w:val="left"/>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2020,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spacing w:before="0" w:after="0" w:line="408" w:lineRule="exact"/>
        <w:ind w:left="0" w:right="0" w:firstLine="576"/>
        <w:jc w:val="left"/>
      </w:pPr>
      <w:r>
        <w:rPr/>
        <w:t xml:space="preserve">(b) The department may not accept any application for a remittance that it does not receive by the later of July 1, 2020, or within one year after the department determines that the conversion of a coal-fired electric generation facility into a natural gas-fired plant or biomass energy facility is operationally complete.</w:t>
      </w:r>
    </w:p>
    <w:p>
      <w:pPr>
        <w:spacing w:before="0" w:after="0" w:line="408" w:lineRule="exact"/>
        <w:ind w:left="0" w:right="0" w:firstLine="576"/>
        <w:jc w:val="left"/>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2020.</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"Biomass energy" means energy derived from solid organic fuels from wood or forest or field residues.</w:t>
      </w:r>
    </w:p>
    <w:p>
      <w:pPr>
        <w:spacing w:before="0" w:after="0" w:line="408" w:lineRule="exact"/>
        <w:ind w:left="0" w:right="0" w:firstLine="576"/>
        <w:jc w:val="left"/>
      </w:pPr>
      <w:r>
        <w:rPr/>
        <w:t xml:space="preserve">(b)(i) "Machinery and equipment" means industrial fixtures, devices, and support facilities that are integral and necessary to the generation of electricity using natural gas or biomass, including repair parts and replacement parts.</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rPr/>
        <w:t xml:space="preserve">(c) "Operationally complete" means constructed or improved to the point of being functionally capable of generating electricity using natural gas or biomass.</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requirements in subsection (2) of this section, a taxpayer is eligible for an exemption from the tax imposed by RCW 82.12.020 on the use of:</w:t>
      </w:r>
    </w:p>
    <w:p>
      <w:pPr>
        <w:spacing w:before="0" w:after="0" w:line="408" w:lineRule="exact"/>
        <w:ind w:left="0" w:right="0" w:firstLine="576"/>
        <w:jc w:val="left"/>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spacing w:before="0" w:after="0" w:line="408" w:lineRule="exact"/>
        <w:ind w:left="0" w:right="0" w:firstLine="576"/>
        <w:jc w:val="left"/>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spacing w:before="0" w:after="0" w:line="408" w:lineRule="exact"/>
        <w:ind w:left="0" w:right="0" w:firstLine="576"/>
        <w:jc w:val="left"/>
      </w:pPr>
      <w:r>
        <w:rPr/>
        <w:t xml:space="preserve">(2)(a) A taxpayer is exempt from the tax imposed by RCW 82.12.020 on the use of materials, machinery and equipment, or installation labor, if the taxpayer received a remittance under section 2 of this act with respect to the purchase of the materials, machinery and equipment, or installation labor.</w:t>
      </w:r>
    </w:p>
    <w:p>
      <w:pPr>
        <w:spacing w:before="0" w:after="0" w:line="408" w:lineRule="exact"/>
        <w:ind w:left="0" w:right="0" w:firstLine="576"/>
        <w:jc w:val="left"/>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2 of this act apply to remittances under this section.</w:t>
      </w:r>
    </w:p>
    <w:p>
      <w:pPr>
        <w:spacing w:before="0" w:after="0" w:line="408" w:lineRule="exact"/>
        <w:ind w:left="0" w:right="0" w:firstLine="576"/>
        <w:jc w:val="left"/>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2026.</w:t>
      </w:r>
    </w:p>
    <w:p>
      <w:pPr>
        <w:spacing w:before="0" w:after="0" w:line="408" w:lineRule="exact"/>
        <w:ind w:left="0" w:right="0" w:firstLine="576"/>
        <w:jc w:val="left"/>
      </w:pPr>
      <w:r>
        <w:rPr/>
        <w:t xml:space="preserve">(4) The definitions in section 2 of this act apply to this section.</w:t>
      </w:r>
    </w:p>
    <w:p>
      <w:pPr>
        <w:spacing w:before="0" w:after="0" w:line="408" w:lineRule="exact"/>
        <w:ind w:left="0" w:right="0" w:firstLine="576"/>
        <w:jc w:val="left"/>
      </w:pPr>
      <w:r>
        <w:rPr/>
        <w:t xml:space="preserve">(5) This section expires July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w:t>
      </w:r>
      <w:r>
        <w:t>((</w:t>
      </w:r>
      <w:r>
        <w:rPr>
          <w:strike/>
        </w:rPr>
        <w:t xml:space="preserve">or</w:t>
      </w:r>
      <w:r>
        <w:t>))</w:t>
      </w:r>
      <w:r>
        <w:rPr/>
        <w:t xml:space="preserve"> 82.12.025661</w:t>
      </w:r>
      <w:r>
        <w:rPr>
          <w:u w:val="single"/>
        </w:rPr>
        <w:t xml:space="preserve">, section 2 of this act, or section 3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2016 c 191 s 5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w:t>
      </w:r>
      <w:r>
        <w:t>((</w:t>
      </w:r>
      <w:r>
        <w:rPr>
          <w:strike/>
        </w:rPr>
        <w:t xml:space="preserve">or</w:t>
      </w:r>
      <w:r>
        <w:t>))</w:t>
      </w:r>
      <w:r>
        <w:rPr/>
        <w:t xml:space="preserve"> 82.12.025661</w:t>
      </w:r>
      <w:r>
        <w:rPr>
          <w:u w:val="single"/>
        </w:rPr>
        <w:t xml:space="preserve">, section 2 of this act, or section 3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Beginning one year after the natural gas-fired plant or biomass energy facility is operationally complete, a person must repay all sales and use taxes remitted to the person under sections 2 and 3 of this act if the number of employment positions, reported to the employment security department, at the natural gas-fired plant or biomass energy facility decreases by twenty-five percent from the previous year's employment level.</w:t>
      </w:r>
    </w:p>
    <w:p>
      <w:pPr>
        <w:spacing w:before="0" w:after="0" w:line="408" w:lineRule="exact"/>
        <w:ind w:left="0" w:right="0" w:firstLine="576"/>
        <w:jc w:val="left"/>
      </w:pPr>
      <w:r>
        <w:rPr/>
        <w:t xml:space="preserve">(2) If sales and use taxes must be repaid under subsection (1) of this section, the department must declare the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sales and use taxes must be repaid under subsection (1) of this section, the person may not continue to claim the sales and use tax exemptions under sections 2 and 3 of this act.</w:t>
      </w:r>
    </w:p>
    <w:p>
      <w:pPr>
        <w:spacing w:before="0" w:after="0" w:line="408" w:lineRule="exact"/>
        <w:ind w:left="0" w:right="0" w:firstLine="576"/>
        <w:jc w:val="left"/>
      </w:pPr>
      <w:r>
        <w:rPr/>
        <w:t xml:space="preserve">(4) This section does not apply to any changes in the number of employment positions at a natural gas-fired plant or biomass energy facility that occur on or after January 1, 2031.</w:t>
      </w:r>
    </w:p>
    <w:p/>
    <w:p>
      <w:pPr>
        <w:jc w:val="center"/>
      </w:pPr>
      <w:r>
        <w:rPr>
          <w:b/>
        </w:rPr>
        <w:t>--- END ---</w:t>
      </w:r>
    </w:p>
    <w:sectPr>
      <w:pgNumType w:start="1"/>
      <w:footerReference xmlns:r="http://schemas.openxmlformats.org/officeDocument/2006/relationships" r:id="R5327be4115ec46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9b179bae08446c" /><Relationship Type="http://schemas.openxmlformats.org/officeDocument/2006/relationships/footer" Target="/word/footer.xml" Id="R5327be4115ec4678" /></Relationships>
</file>