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63ddbbda494943" /></Relationships>
</file>

<file path=word/document.xml><?xml version="1.0" encoding="utf-8"?>
<w:document xmlns:w="http://schemas.openxmlformats.org/wordprocessingml/2006/main">
  <w:body>
    <w:p>
      <w:r>
        <w:t>H-0479.2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1565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65th Legislature</w:t>
        <w:tab/>
      </w:r>
      <w:r>
        <w:rPr>
          <w:b/>
        </w:rPr>
        <w:t>2017 Regular Session</w:t>
      </w:r>
    </w:p>
    <w:p/>
    <w:p>
      <w:r>
        <w:rPr>
          <w:b/>
        </w:rPr>
        <w:t xml:space="preserve">By </w:t>
      </w:r>
      <w:r>
        <w:t>Representatives Macri, Riccelli, Cody, Ortiz-Self, Doglio, Robinson, Hudgins, Clibborn, Pollet, Springer, and Fey</w:t>
      </w:r>
    </w:p>
    <w:p/>
    <w:p>
      <w:r>
        <w:rPr>
          <w:t xml:space="preserve">Read first time 01/23/17.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health coverage for young adults; and adding a new section to chapter 74.09 RCW.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74</w:t>
      </w:r>
      <w:r>
        <w:rPr/>
        <w:t xml:space="preserve">.</w:t>
      </w:r>
      <w:r>
        <w:t xml:space="preserve">09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The authority shall provide health coverage to individuals who: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Are at least nineteen years old and no older than twenty-six years old;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Have an income that is at or below one hundred thirty-three percent of the federal poverty level;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Are not incarcerated;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Are not eligible for categorically needy medical assistance as defined in the social security Title XIX state plan.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amount, scope, and duration of health care services provided to individuals under this section must be the same as that provided to individuals eligible for categorically needy medical assistance.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The authority shall seek federal funding, as available, to defray state costs associated with providing coverage to persons under this section.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6f36ad57f11a42be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1565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5d11c41ec8416f" /><Relationship Type="http://schemas.openxmlformats.org/officeDocument/2006/relationships/footer" Target="/word/footer.xml" Id="R6f36ad57f11a42be" /></Relationships>
</file>