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97234cb994931" /></Relationships>
</file>

<file path=word/document.xml><?xml version="1.0" encoding="utf-8"?>
<w:document xmlns:w="http://schemas.openxmlformats.org/wordprocessingml/2006/main">
  <w:body>
    <w:p>
      <w:r>
        <w:t>H-1661.1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1566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Early Learning &amp; Human Services (originally sponsored by Representatives Pellicciotti, McDonald, Stambaugh, Gregerson, Ortiz-Self, Peterson, Riccelli, Stanford, Stonier, Kilduff, Holy, Ormsby, Haler, Bergquist, and Dolan)</w:t>
      </w:r>
    </w:p>
    <w:p/>
    <w:p>
      <w:r>
        <w:rPr>
          <w:t xml:space="preserve">READ FIRST TIME 02/10/17.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work activity for the purposes of the WorkFirst program; amending RCW 74.08A.250; and adding a new section to chapter 74.08A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twenty-four</w:t>
      </w:r>
      <w:r>
        <w:rPr/>
        <w:t xml:space="preserve"> months with respect to any individual;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joint legislative audit and review committee must review the impact of extending the amount of vocational training time that qualifies for work activity from twelve months to twenty-four months. The joint legislative audit and review committee shall report its findings to the appropriate committees of the legislature by December 1, 2025. The review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analysis of the increase in the number of participants that qualify for temporary assistance for needy families due to the extended training time;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comparison of employment and earnings outcomes for individuals that qualified due to extended training time compared to other temporary assistance for needy families participants.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c213fa0ceb64f1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1566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7d13cc0d94124" /><Relationship Type="http://schemas.openxmlformats.org/officeDocument/2006/relationships/footer" Target="/word/footer.xml" Id="R9c213fa0ceb64f17" /></Relationships>
</file>