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21c841cb874517" /></Relationships>
</file>

<file path=word/document.xml><?xml version="1.0" encoding="utf-8"?>
<w:document xmlns:w="http://schemas.openxmlformats.org/wordprocessingml/2006/main">
  <w:body>
    <w:p>
      <w:r>
        <w:t>H-1713.1</w:t>
      </w:r>
    </w:p>
    <w:p>
      <w:pPr>
        <w:jc w:val="center"/>
      </w:pPr>
      <w:r>
        <w:t>_______________________________________________</w:t>
      </w:r>
    </w:p>
    <w:p/>
    <w:p>
      <w:pPr>
        <w:jc w:val="center"/>
      </w:pPr>
      <w:r>
        <w:rPr>
          <w:b/>
        </w:rPr>
        <w:t>SUBSTITUTE HOUSE BILL 1591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Klippert and Hayes)</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punishment for vehicular assault; amending RCW 9.94A.525;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w:t>
      </w:r>
      <w:r>
        <w:rPr>
          <w:u w:val="single"/>
        </w:rPr>
        <w:t xml:space="preserve">(a) Except as provided in (b) of this subsection, i</w:t>
      </w:r>
      <w:r>
        <w:rPr/>
        <w:t xml:space="preserve">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u w:val="single"/>
        </w:rPr>
        <w:t xml:space="preserve">(b) If the present conviction is for Vehicular Assault while driving under the influence of intoxicating liquor or any drug under RCW 46.61.522(1)(b), count three points for each adult or juvenile prior conviction for Vehicular Homicide or Vehicular Assault, count one point for each adult and 1/2 point for each juvenile prior conviction of a felony offense, count one point for each adult and 1/2 point for each juvenile prior conviction of a serious traffic offense, and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w:t>
      </w:r>
      <w:r>
        <w:t>((</w:t>
      </w:r>
      <w:r>
        <w:rPr>
          <w:strike/>
        </w:rPr>
        <w:t xml:space="preserve">plead [pleaded]</w:t>
      </w:r>
      <w:r>
        <w:t>))</w:t>
      </w:r>
      <w:r>
        <w:rPr/>
        <w:t xml:space="preserve"> </w:t>
      </w:r>
      <w:r>
        <w:rPr>
          <w:u w:val="single"/>
        </w:rPr>
        <w:t xml:space="preserve">pleaded</w:t>
      </w:r>
      <w:r>
        <w:rPr/>
        <w:t xml:space="preserve">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following offenses: A violation of a no</w:t>
      </w:r>
      <w:r>
        <w:rPr/>
        <w:noBreakHyphen/>
      </w:r>
      <w:r>
        <w:rPr/>
        <w:t xml:space="preserve">contact order that is a felony offense, a violation of a protection order that is a felony offense, a felony domestic violence harassment offense, a felony domestic violence stalking offense, a domestic violence Burglary 1 offense, a domestic violence Kidnapping 1 offense, a domestic violence Kidnapping 2 offense, a domestic violence unlawful imprisonment offense, a domestic violence Robbery 1 offense, a domestic violence Robbery 2 offense, a domestic violence Assault 1 offense, a domestic violence Assault 2 offense, a domestic violence Assault 3 offense, a domestic violence Arson 1 offense, or a domestic violence Arson 2 offense;</w:t>
      </w:r>
    </w:p>
    <w:p>
      <w:pPr>
        <w:spacing w:before="0" w:after="0" w:line="408" w:lineRule="exact"/>
        <w:ind w:left="0" w:right="0" w:firstLine="576"/>
        <w:jc w:val="left"/>
      </w:pPr>
      <w:r>
        <w:rPr/>
        <w:t xml:space="preserve">(b) Count one point for each second and subsequent juvenile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offenses listed in (a) of this subsection; and</w:t>
      </w:r>
    </w:p>
    <w:p>
      <w:pPr>
        <w:spacing w:before="0" w:after="0" w:line="408" w:lineRule="exact"/>
        <w:ind w:left="0" w:right="0" w:firstLine="576"/>
        <w:jc w:val="left"/>
      </w:pPr>
      <w:r>
        <w:rPr/>
        <w:t xml:space="preserve">(c) Count one point for each adult prior conviction for a repetitive domestic violence offense as defined in RCW 9.94A.030,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
      <w:pPr>
        <w:jc w:val="center"/>
      </w:pPr>
      <w:r>
        <w:rPr>
          <w:b/>
        </w:rPr>
        <w:t>--- END ---</w:t>
      </w:r>
    </w:p>
    <w:sectPr>
      <w:pgNumType w:start="1"/>
      <w:footerReference xmlns:r="http://schemas.openxmlformats.org/officeDocument/2006/relationships" r:id="Rd0ee200e641e48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dc8f8e31614f54" /><Relationship Type="http://schemas.openxmlformats.org/officeDocument/2006/relationships/footer" Target="/word/footer.xml" Id="Rd0ee200e641e488f" /></Relationships>
</file>