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c748e0b35f4a4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1614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Transportation (originally sponsored by Representatives Goodman, Klippert, Orwall, Hayes, Pellicciotti, Holy, Griffey, Pettigrew, Muri, and Haler)</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impaired driving; amending RCW 46.20.385, 46.20.720, 46.61.506, 46.61.508, 18.130.140, 46.61.517, and 46.64.025; and reenacting and amending RCW 9.96.060, 10.31.100, and 46.61.5055.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2014 c 176 s 1 and 2014 c 109 s 1 are each reenacted and amended to read as follows:</w:t>
      </w:r>
    </w:p>
    <w:p>
      <w:pPr>
        <w:spacing w:before="0" w:after="0" w:line="408" w:lineRule="exact"/>
        <w:ind w:left="0" w:right="0" w:firstLine="576"/>
        <w:jc w:val="left"/>
      </w:pPr>
      <w:r>
        <w:rPr/>
        <w:t xml:space="preserve">(1) 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tests prescribed in subsection (2) of this section, the court may in its discretion vacate the record of conviction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an attempt to commit a violent offense;</w:t>
      </w:r>
    </w:p>
    <w:p>
      <w:pPr>
        <w:spacing w:before="0" w:after="0" w:line="408" w:lineRule="exact"/>
        <w:ind w:left="0" w:right="0" w:firstLine="576"/>
        <w:jc w:val="left"/>
      </w:pPr>
      <w:r>
        <w:rPr/>
        <w:t xml:space="preserve">(c)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w:t>
      </w:r>
      <w:r>
        <w:rPr>
          <w:u w:val="single"/>
        </w:rPr>
        <w:t xml:space="preserve">or less than ten years has elapsed since the date of the arrest for the prior offense</w:t>
      </w:r>
      <w:r>
        <w:rPr/>
        <w:t xml:space="preserve">;</w:t>
      </w:r>
    </w:p>
    <w:p>
      <w:pPr>
        <w:spacing w:before="0" w:after="0" w:line="408" w:lineRule="exact"/>
        <w:ind w:left="0" w:right="0" w:firstLine="576"/>
        <w:jc w:val="left"/>
      </w:pPr>
      <w:r>
        <w:rPr/>
        <w:t xml:space="preserve">(d) The offense was any misdemeanor or gross misdemeanor violation, including attempt, of chapter 9.68 RCW (obscenity and pornography), chapter 9.68A RCW (sexual exploitation of children), or chapter 9A.44 RCW (sex offenses);</w:t>
      </w:r>
    </w:p>
    <w:p>
      <w:pPr>
        <w:spacing w:before="0" w:after="0" w:line="408" w:lineRule="exact"/>
        <w:ind w:left="0" w:right="0" w:firstLine="576"/>
        <w:jc w:val="left"/>
      </w:pPr>
      <w:r>
        <w:rPr/>
        <w:t xml:space="preserve">(e) The applicant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previously had a conviction for domestic violence.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(f) For any offense other than those described in (e)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(g) The offender has been convicted of a new crime in this state, another state, or federal court since the date of conviction;</w:t>
      </w:r>
    </w:p>
    <w:p>
      <w:pPr>
        <w:spacing w:before="0" w:after="0" w:line="408" w:lineRule="exact"/>
        <w:ind w:left="0" w:right="0" w:firstLine="576"/>
        <w:jc w:val="left"/>
      </w:pPr>
      <w:r>
        <w:rPr/>
        <w:t xml:space="preserve">(h) The applicant has ever had the record of another conviction vacated; or</w:t>
      </w:r>
    </w:p>
    <w:p>
      <w:pPr>
        <w:spacing w:before="0" w:after="0" w:line="408" w:lineRule="exact"/>
        <w:ind w:left="0" w:right="0" w:firstLine="576"/>
        <w:jc w:val="left"/>
      </w:pPr>
      <w:r>
        <w:rPr/>
        <w:t xml:space="preserve">(i) The applicant is currently restrained, or has been restrained within five years prior to the vacation application, by a domestic violence protection order, a no-contact order, an antiharassment order, or a civil restraining order which restrains one party from contacting the other party.</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Nothing in this section affects or prevents the use of an offender's prior conviction in a later criminal prosecution.</w:t>
      </w:r>
    </w:p>
    <w:p>
      <w:pPr>
        <w:spacing w:before="0" w:after="0" w:line="408" w:lineRule="exact"/>
        <w:ind w:left="0" w:right="0" w:firstLine="576"/>
        <w:jc w:val="left"/>
      </w:pPr>
      <w:r>
        <w:rPr/>
        <w:t xml:space="preserve">(6) All costs incurred by the court and probation services shall be paid by the person making the motion to vacate the record unless a determination is made pursuant to chapter 10.101 RCW that the person making the motion is indigent, at the time the motion is brought.</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2016 c 203 s 9 and 2016 c 113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(12)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26.26,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rPr/>
        <w:t xml:space="preserve">(c) The person is eighteen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 police officer shall, at the request of a parent or guardian, arrest the sixteen or seventeen year old child of that parent or guardian if the officer has probable cause to believe that the child has assaulted a family or household member as defined in RCW 10.99.020 in the preceding four hours. Nothing in this subsection removes a police officer's existing authority provided in this section to make an arrest.</w:t>
      </w:r>
    </w:p>
    <w:p>
      <w:pPr>
        <w:spacing w:before="0" w:after="0" w:line="408" w:lineRule="exact"/>
        <w:ind w:left="0" w:right="0" w:firstLine="576"/>
        <w:jc w:val="left"/>
      </w:pPr>
      <w:r>
        <w:rPr/>
        <w:t xml:space="preserve">(4)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(5)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(6)(a)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(7)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(8)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(9)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(10)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(11)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(12)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(13) A law enforcement officer having probable cause to believe that a person has committed a violation under RCW 77.15.160(4) may issue a citation for an infraction to the person in connection with the violation.</w:t>
      </w:r>
    </w:p>
    <w:p>
      <w:pPr>
        <w:spacing w:before="0" w:after="0" w:line="408" w:lineRule="exact"/>
        <w:ind w:left="0" w:right="0" w:firstLine="576"/>
        <w:jc w:val="left"/>
      </w:pPr>
      <w:r>
        <w:rPr/>
        <w:t xml:space="preserve">(14)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(15) Except as specifically provided in subsections (2), (4), (5), and (8) of this section, nothing in this section extends or otherwise affects the powers of arrest prescribed in Title 46 RCW.</w:t>
      </w:r>
    </w:p>
    <w:p>
      <w:pPr>
        <w:spacing w:before="0" w:after="0" w:line="408" w:lineRule="exact"/>
        <w:ind w:left="0" w:right="0" w:firstLine="576"/>
        <w:jc w:val="left"/>
      </w:pPr>
      <w:r>
        <w:rPr/>
        <w:t xml:space="preserve">(16) No police officer may be held criminally or civilly liable for making an arrest pursuant to subsection (2) or (10) of this section if the police officer acts in good faith and without malice.</w:t>
      </w:r>
    </w:p>
    <w:p>
      <w:pPr>
        <w:spacing w:before="0" w:after="0" w:line="408" w:lineRule="exact"/>
        <w:ind w:left="0" w:right="0" w:firstLine="576"/>
        <w:jc w:val="left"/>
      </w:pPr>
      <w:r>
        <w:rPr/>
        <w:t xml:space="preserve">(17)(a)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w:t>
      </w:r>
      <w:r>
        <w:rPr>
          <w:u w:val="single"/>
        </w:rPr>
        <w:t xml:space="preserve">: (i) H</w:t>
      </w:r>
      <w:r>
        <w:rPr/>
        <w:t xml:space="preserve">as knowledge that the person has a prior offense as defined in RCW 46.61.5055 within ten years</w:t>
      </w:r>
      <w:r>
        <w:rPr>
          <w:u w:val="single"/>
        </w:rPr>
        <w:t xml:space="preserve">; or (ii) has knowledge, based on a review of the information available to the officer at the time of arrest, that the person is charged with or is awaiting arraignment for an offense that would qualify as a prior offense as defined in RCW 46.61.5055 if it were a conviction</w:t>
      </w:r>
      <w:r>
        <w:rPr/>
        <w:t xml:space="preserve">.</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0" w:after="0" w:line="408" w:lineRule="exact"/>
        <w:ind w:left="0" w:right="0" w:firstLine="576"/>
        <w:jc w:val="left"/>
      </w:pPr>
      <w:r>
        <w:rPr/>
        <w:t xml:space="preserve">(18) A juvenile detention facility shall book into detention any person under age eighteen brought to that detention facility pursuant to an arrest for assaulting a family or household member as defined in RCW 10.99.020.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2016 c 203 s 13 are each amended to read as follows:</w:t>
      </w:r>
    </w:p>
    <w:p>
      <w:pPr>
        <w:spacing w:before="0" w:after="0" w:line="408" w:lineRule="exact"/>
        <w:ind w:left="0" w:right="0" w:firstLine="576"/>
        <w:jc w:val="left"/>
      </w:pPr>
      <w:r>
        <w:rPr/>
        <w:t xml:space="preserve">(1)(a) Any person licensed under this chapter or who has a valid driver's license from another state, who is convicted of: (i) A violation of RCW 46.61.502 or 46.61.504 or an equivalent local or out-of-state statute or ordinance, or (ii) a violation of RCW 46.61.520(1)(a) or an equivalent local or out-of-state statute or ordinance, or (iii) a conviction for a violation of RCW 46.61.520(1) (b) or (c) if the conviction is the result of a charge that was originally filed as a violation of RCW 46.61.520(1)(a), or (iv) RCW 46.61.522(1)(b) or an equivalent local or out-of-state statute or ordinance, or (v) RCW 46.61.522(1) (a) or (c) if the conviction is the result of a charge that was originally filed as a violation of RCW 46.61.522(1)(b) committed while under the influence of intoxicating liquor or any drug, or (vi) who has had or will have his or her license suspended, revoked, or denied under RCW 46.20.3101,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spacing w:before="0" w:after="0" w:line="408" w:lineRule="exact"/>
        <w:ind w:left="0" w:right="0" w:firstLine="576"/>
        <w:jc w:val="left"/>
      </w:pPr>
      <w:r>
        <w:rPr/>
        <w:t xml:space="preserve">(b) A person may apply for an ignition interlock driver's license anytime, including immediately after receiving the notices under RCW 46.20.308 or after his or her license is suspended, revoked, or denied.</w:t>
      </w:r>
    </w:p>
    <w:p>
      <w:pPr>
        <w:spacing w:before="0" w:after="0" w:line="408" w:lineRule="exact"/>
        <w:ind w:left="0" w:right="0" w:firstLine="576"/>
        <w:jc w:val="left"/>
      </w:pPr>
      <w:r>
        <w:rPr/>
        <w:t xml:space="preserve">(c) An applicant under this subsection shall provide proof to the satisfaction of the department that a functioning ignition interlock device has been installed on all vehicles operated by the person.</w:t>
      </w:r>
    </w:p>
    <w:p>
      <w:pPr>
        <w:spacing w:before="0" w:after="0" w:line="408" w:lineRule="exact"/>
        <w:ind w:left="0" w:right="0" w:firstLine="576"/>
        <w:jc w:val="left"/>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 unless otherwise permitted under RCW 46.20.720(6).</w:t>
      </w:r>
    </w:p>
    <w:p>
      <w:pPr>
        <w:spacing w:before="0" w:after="0" w:line="408" w:lineRule="exact"/>
        <w:ind w:left="0" w:right="0" w:firstLine="576"/>
        <w:jc w:val="left"/>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spacing w:before="0" w:after="0" w:line="408" w:lineRule="exact"/>
        <w:ind w:left="0" w:right="0" w:firstLine="576"/>
        <w:jc w:val="left"/>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spacing w:before="0" w:after="0" w:line="408" w:lineRule="exact"/>
        <w:ind w:left="0" w:right="0" w:firstLine="576"/>
        <w:jc w:val="left"/>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spacing w:before="0" w:after="0" w:line="408" w:lineRule="exact"/>
        <w:ind w:left="0" w:right="0" w:firstLine="576"/>
        <w:jc w:val="left"/>
      </w:pPr>
      <w:r>
        <w:rPr/>
        <w:t xml:space="preserve">(4) A person aggrieved by the decision of the department on the application for an ignition interlock driver's license may request a hearing as provided by rule of the department.</w:t>
      </w:r>
    </w:p>
    <w:p>
      <w:pPr>
        <w:spacing w:before="0" w:after="0" w:line="408" w:lineRule="exact"/>
        <w:ind w:left="0" w:right="0" w:firstLine="576"/>
        <w:jc w:val="left"/>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spacing w:before="0" w:after="0" w:line="408" w:lineRule="exact"/>
        <w:ind w:left="0" w:right="0" w:firstLine="576"/>
        <w:jc w:val="left"/>
      </w:pPr>
      <w:r>
        <w:rPr/>
        <w:t xml:space="preserve">(6)(a) Unless costs are waived by the ignition interlock company or the person is indigent under RCW 10.101.010, the applicant shall pay the cost of installing, removing, and leasing the ignition interlock device and shall pay an additional fee of twenty dollars per month. Payments shall be made directly to the ignition interlock company. The company shall remit the additional </w:t>
      </w:r>
      <w:r>
        <w:t>((</w:t>
      </w:r>
      <w:r>
        <w:rPr>
          <w:strike/>
        </w:rPr>
        <w:t xml:space="preserve">twenty dollar</w:t>
      </w:r>
      <w:r>
        <w:t>))</w:t>
      </w:r>
      <w:r>
        <w:rPr/>
        <w:t xml:space="preserve"> fee to the department</w:t>
      </w:r>
      <w:r>
        <w:rPr>
          <w:u w:val="single"/>
        </w:rPr>
        <w:t xml:space="preserve">, except that the company may retain one dollar per month of the additional fee to cover the expenses associated with administering the fee</w:t>
      </w:r>
      <w:r>
        <w:rPr/>
        <w:t xml:space="preserve">.</w:t>
      </w:r>
    </w:p>
    <w:p>
      <w:pPr>
        <w:spacing w:before="0" w:after="0" w:line="408" w:lineRule="exact"/>
        <w:ind w:left="0" w:right="0" w:firstLine="576"/>
        <w:jc w:val="left"/>
      </w:pPr>
      <w:r>
        <w:rPr/>
        <w:t xml:space="preserve">(b) The department shall deposit the proceeds of the twenty dollar fee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spacing w:before="0" w:after="0" w:line="408" w:lineRule="exact"/>
        <w:ind w:left="0" w:right="0" w:firstLine="576"/>
        <w:jc w:val="left"/>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spacing w:before="0" w:after="0" w:line="408" w:lineRule="exact"/>
        <w:ind w:left="0" w:right="0" w:firstLine="576"/>
        <w:jc w:val="left"/>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spacing w:before="0" w:after="0" w:line="408" w:lineRule="exact"/>
        <w:ind w:left="0" w:right="0" w:firstLine="576"/>
        <w:jc w:val="left"/>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720</w:t>
      </w:r>
      <w:r>
        <w:rPr/>
        <w:t xml:space="preserve"> and 2016 c 203 s 14 are each amended to read as follows:</w:t>
      </w:r>
    </w:p>
    <w:p>
      <w:pPr>
        <w:spacing w:before="0" w:after="0" w:line="408" w:lineRule="exact"/>
        <w:ind w:left="0" w:right="0" w:firstLine="576"/>
        <w:jc w:val="left"/>
      </w:pPr>
      <w:r>
        <w:rPr/>
        <w:t xml:space="preserve">(1) </w:t>
      </w:r>
      <w:r>
        <w:rPr>
          <w:b/>
        </w:rPr>
        <w:t xml:space="preserve">Ignition interlock restriction.</w:t>
      </w:r>
      <w:r>
        <w:rPr/>
        <w:t xml:space="preserve"> The department shall require that a person may drive only a motor vehicle equipped with a functioning ignition interlock device:</w:t>
      </w:r>
    </w:p>
    <w:p>
      <w:pPr>
        <w:spacing w:before="0" w:after="0" w:line="408" w:lineRule="exact"/>
        <w:ind w:left="0" w:right="0" w:firstLine="576"/>
        <w:jc w:val="left"/>
      </w:pPr>
      <w:r>
        <w:rPr/>
        <w:t xml:space="preserve">(a) </w:t>
      </w:r>
      <w:r>
        <w:rPr>
          <w:b/>
        </w:rPr>
        <w:t xml:space="preserve">Pretrial release.</w:t>
      </w:r>
      <w:r>
        <w:rPr/>
        <w:t xml:space="preserve"> Upon receipt of notice from a court that an ignition interlock device restriction has been imposed under RCW 10.21.055;</w:t>
      </w:r>
    </w:p>
    <w:p>
      <w:pPr>
        <w:spacing w:before="0" w:after="0" w:line="408" w:lineRule="exact"/>
        <w:ind w:left="0" w:right="0" w:firstLine="576"/>
        <w:jc w:val="left"/>
      </w:pPr>
      <w:r>
        <w:rPr/>
        <w:t xml:space="preserve">(b) </w:t>
      </w:r>
      <w:r>
        <w:rPr>
          <w:b/>
        </w:rPr>
        <w:t xml:space="preserve">Ignition interlock driver's license.</w:t>
      </w:r>
      <w:r>
        <w:rPr/>
        <w:t xml:space="preserve"> As required for issuance of an ignition interlock driver's license under RCW 46.20.385;</w:t>
      </w:r>
    </w:p>
    <w:p>
      <w:pPr>
        <w:spacing w:before="0" w:after="0" w:line="408" w:lineRule="exact"/>
        <w:ind w:left="0" w:right="0" w:firstLine="576"/>
        <w:jc w:val="left"/>
      </w:pPr>
      <w:r>
        <w:rPr/>
        <w:t xml:space="preserve">(c) </w:t>
      </w:r>
      <w:r>
        <w:rPr>
          <w:b/>
        </w:rPr>
        <w:t xml:space="preserve">Deferred prosecution.</w:t>
      </w:r>
      <w:r>
        <w:rPr/>
        <w:t xml:space="preserve"> Upon receipt of notice from a court that the person is participating in a deferred prosecution program under RCW 10.05.020 for a violation of:</w:t>
      </w:r>
    </w:p>
    <w:p>
      <w:pPr>
        <w:spacing w:before="0" w:after="0" w:line="408" w:lineRule="exact"/>
        <w:ind w:left="0" w:right="0" w:firstLine="576"/>
        <w:jc w:val="left"/>
      </w:pPr>
      <w:r>
        <w:rPr/>
        <w:t xml:space="preserve">(i) RCW 46.61.502 or 46.61.504 or an equivalent local ordinance; or</w:t>
      </w:r>
    </w:p>
    <w:p>
      <w:pPr>
        <w:spacing w:before="0" w:after="0" w:line="408" w:lineRule="exact"/>
        <w:ind w:left="0" w:right="0" w:firstLine="576"/>
        <w:jc w:val="left"/>
      </w:pPr>
      <w:r>
        <w:rPr/>
        <w:t xml:space="preserve">(ii) RCW 46.61.5249 or 46.61.500 or an equivalent local ordinance if the person would be required under RCW 46.61.5249(4) or 46.61.500(3) (a) or (b) to install an ignition interlock device on all vehicles operated by the person in the event of a conviction;</w:t>
      </w:r>
    </w:p>
    <w:p>
      <w:pPr>
        <w:spacing w:before="0" w:after="0" w:line="408" w:lineRule="exact"/>
        <w:ind w:left="0" w:right="0" w:firstLine="576"/>
        <w:jc w:val="left"/>
      </w:pPr>
      <w:r>
        <w:rPr/>
        <w:t xml:space="preserve">(d) </w:t>
      </w:r>
      <w:r>
        <w:rPr>
          <w:b/>
        </w:rPr>
        <w:t xml:space="preserve">Post conviction.</w:t>
      </w:r>
      <w:r>
        <w:rPr/>
        <w:t xml:space="preserve"> After any applicable period of suspension, revocation, or denial of driving privileges:</w:t>
      </w:r>
    </w:p>
    <w:p>
      <w:pPr>
        <w:spacing w:before="0" w:after="0" w:line="408" w:lineRule="exact"/>
        <w:ind w:left="0" w:right="0" w:firstLine="576"/>
        <w:jc w:val="left"/>
      </w:pPr>
      <w:r>
        <w:rPr/>
        <w:t xml:space="preserve">(i) Due to a conviction of a violation of RCW 46.61.502 or 46.61.504 or an equivalent local or out-of-state statute or ordinance; or</w:t>
      </w:r>
    </w:p>
    <w:p>
      <w:pPr>
        <w:spacing w:before="0" w:after="0" w:line="408" w:lineRule="exact"/>
        <w:ind w:left="0" w:right="0" w:firstLine="576"/>
        <w:jc w:val="left"/>
      </w:pPr>
      <w:r>
        <w:rPr/>
        <w:t xml:space="preserve">(ii) Due to a conviction of a violation of RCW 46.61.5249 or 46.61.500 or an equivalent local ordinance if the person is required under RCW 46.61.5249(4) or 46.61.500(3) (a) or (b) to install an ignition interlock device on all vehicles operated by the person; or</w:t>
      </w:r>
    </w:p>
    <w:p>
      <w:pPr>
        <w:spacing w:before="0" w:after="0" w:line="408" w:lineRule="exact"/>
        <w:ind w:left="0" w:right="0" w:firstLine="576"/>
        <w:jc w:val="left"/>
      </w:pPr>
      <w:r>
        <w:rPr/>
        <w:t xml:space="preserve">(e) </w:t>
      </w:r>
      <w:r>
        <w:rPr>
          <w:b/>
        </w:rPr>
        <w:t xml:space="preserve">Court order.</w:t>
      </w:r>
      <w:r>
        <w:rPr/>
        <w:t xml:space="preserve"> Upon receipt of an order by a court having jurisdiction that a person charged or convicted of any offense involving the use, consumption, or possession of alcohol while operating a motor vehicle may drive only a motor vehicle equipped with a functioning ignition interlock. The court shall establish a specific calibration setting at which the ignition interlock will prevent the vehicle from being started. The court shall also establish the period of time for which ignition interlock use will be required.</w:t>
      </w:r>
    </w:p>
    <w:p>
      <w:pPr>
        <w:spacing w:before="0" w:after="0" w:line="408" w:lineRule="exact"/>
        <w:ind w:left="0" w:right="0" w:firstLine="576"/>
        <w:jc w:val="left"/>
      </w:pPr>
      <w:r>
        <w:rPr/>
        <w:t xml:space="preserve">(2) </w:t>
      </w:r>
      <w:r>
        <w:rPr>
          <w:b/>
        </w:rPr>
        <w:t xml:space="preserve">Calibration.</w:t>
      </w:r>
      <w:r>
        <w:rPr/>
        <w:t xml:space="preserve"> Unless otherwise specified by the court for a restriction imposed under subsection (1)(e) of this section, the ignition interlock device shall be calibrated to prevent the motor vehicle from being started when the breath sample provided has an alcohol concentration of 0.025 or more.</w:t>
      </w:r>
    </w:p>
    <w:p>
      <w:pPr>
        <w:spacing w:before="0" w:after="0" w:line="408" w:lineRule="exact"/>
        <w:ind w:left="0" w:right="0" w:firstLine="576"/>
        <w:jc w:val="left"/>
      </w:pPr>
      <w:r>
        <w:rPr/>
        <w:t xml:space="preserve">(3) </w:t>
      </w:r>
      <w:r>
        <w:rPr>
          <w:b/>
        </w:rPr>
        <w:t xml:space="preserve">Duration of restriction.</w:t>
      </w:r>
      <w:r>
        <w:rPr/>
        <w:t xml:space="preserve"> A restriction imposed under:</w:t>
      </w:r>
    </w:p>
    <w:p>
      <w:pPr>
        <w:spacing w:before="0" w:after="0" w:line="408" w:lineRule="exact"/>
        <w:ind w:left="0" w:right="0" w:firstLine="576"/>
        <w:jc w:val="left"/>
      </w:pPr>
      <w:r>
        <w:rPr/>
        <w:t xml:space="preserve">(a) Subsection (1)(a) of this section shall remain in effect until:</w:t>
      </w:r>
    </w:p>
    <w:p>
      <w:pPr>
        <w:spacing w:before="0" w:after="0" w:line="408" w:lineRule="exact"/>
        <w:ind w:left="0" w:right="0" w:firstLine="576"/>
        <w:jc w:val="left"/>
      </w:pPr>
      <w:r>
        <w:rPr/>
        <w:t xml:space="preserve">(i) The court has authorized the removal of the device under RCW 10.21.055; or</w:t>
      </w:r>
    </w:p>
    <w:p>
      <w:pPr>
        <w:spacing w:before="0" w:after="0" w:line="408" w:lineRule="exact"/>
        <w:ind w:left="0" w:right="0" w:firstLine="576"/>
        <w:jc w:val="left"/>
      </w:pPr>
      <w:r>
        <w:rPr/>
        <w:t xml:space="preserve">(ii) The department has imposed a restriction under subsection (1)(b), (c), or (d) of this section arising out of the same incident.</w:t>
      </w:r>
    </w:p>
    <w:p>
      <w:pPr>
        <w:spacing w:before="0" w:after="0" w:line="408" w:lineRule="exact"/>
        <w:ind w:left="0" w:right="0" w:firstLine="576"/>
        <w:jc w:val="left"/>
      </w:pPr>
      <w:r>
        <w:rPr/>
        <w:t xml:space="preserve">(b) Subsection (1)(b) of this section remains in effect during the validity of any ignition interlock driver's license that has been issued to the person.</w:t>
      </w:r>
    </w:p>
    <w:p>
      <w:pPr>
        <w:spacing w:before="0" w:after="0" w:line="408" w:lineRule="exact"/>
        <w:ind w:left="0" w:right="0" w:firstLine="576"/>
        <w:jc w:val="left"/>
      </w:pPr>
      <w:r>
        <w:rPr/>
        <w:t xml:space="preserve">(c) Subsection (1)(c)(i) or (d)(i) of this section shall be for no less than:</w:t>
      </w:r>
    </w:p>
    <w:p>
      <w:pPr>
        <w:spacing w:before="0" w:after="0" w:line="408" w:lineRule="exact"/>
        <w:ind w:left="0" w:right="0" w:firstLine="576"/>
        <w:jc w:val="left"/>
      </w:pPr>
      <w:r>
        <w:rPr/>
        <w:t xml:space="preserve">(i) For a person who has not previously been restricted under this subsection, a period of one year;</w:t>
      </w:r>
    </w:p>
    <w:p>
      <w:pPr>
        <w:spacing w:before="0" w:after="0" w:line="408" w:lineRule="exact"/>
        <w:ind w:left="0" w:right="0" w:firstLine="576"/>
        <w:jc w:val="left"/>
      </w:pPr>
      <w:r>
        <w:rPr/>
        <w:t xml:space="preserve">(ii) For a person who has previously been restricted under (c)(i) of this subsection, a period of five years;</w:t>
      </w:r>
    </w:p>
    <w:p>
      <w:pPr>
        <w:spacing w:before="0" w:after="0" w:line="408" w:lineRule="exact"/>
        <w:ind w:left="0" w:right="0" w:firstLine="576"/>
        <w:jc w:val="left"/>
      </w:pPr>
      <w:r>
        <w:rPr/>
        <w:t xml:space="preserve">(iii) For a person who has previously been restricted under (c)(ii) of this subsection, a period of ten years.</w:t>
      </w:r>
    </w:p>
    <w:p>
      <w:pPr>
        <w:spacing w:before="0" w:after="0" w:line="408" w:lineRule="exact"/>
        <w:ind w:left="0" w:right="0" w:firstLine="576"/>
        <w:jc w:val="left"/>
      </w:pPr>
      <w:r>
        <w:rPr/>
        <w:t xml:space="preserve">The restriction of a person who is convicted of a violation of RCW 46.61.502 or 46.61.504 or an equivalent local ordinance and who committed the offense while a passenger under the age of sixteen was in the vehicle shall be extended for an additional six-month period as required by RCW 46.61.5055(6)(a).</w:t>
      </w:r>
    </w:p>
    <w:p>
      <w:pPr>
        <w:spacing w:before="0" w:after="0" w:line="408" w:lineRule="exact"/>
        <w:ind w:left="0" w:right="0" w:firstLine="576"/>
        <w:jc w:val="left"/>
      </w:pPr>
      <w:r>
        <w:rPr/>
        <w:t xml:space="preserve">(d) Subsection (1)(c)(ii) or (d)(ii) of this section shall be for a period of no less than six months.</w:t>
      </w:r>
    </w:p>
    <w:p>
      <w:pPr>
        <w:spacing w:before="0" w:after="0" w:line="408" w:lineRule="exact"/>
        <w:ind w:left="0" w:right="0" w:firstLine="576"/>
        <w:jc w:val="left"/>
      </w:pPr>
      <w:r>
        <w:rPr/>
        <w:t xml:space="preserve">(e) Subsection (1)(e) of this section shall remain in effect for the period of time specified by the court.</w:t>
      </w:r>
    </w:p>
    <w:p>
      <w:pPr>
        <w:spacing w:before="0" w:after="0" w:line="408" w:lineRule="exact"/>
        <w:ind w:left="0" w:right="0" w:firstLine="576"/>
        <w:jc w:val="left"/>
      </w:pPr>
      <w:r>
        <w:rPr/>
        <w:t xml:space="preserve">The period of restriction under (c) and (d) of this subsection based on incidents occurring on or after June 9, 2016, must be tolled for any period in which the person does not have an ignition interlock device installed on a vehicle owned or operated by the person </w:t>
      </w:r>
      <w:r>
        <w:rPr>
          <w:u w:val="single"/>
        </w:rPr>
        <w:t xml:space="preserve">unless the person receives a determination from the department that the person is unable to operate an ignition interlock device due to a physical disability. The department's determination that a person is unable to operate an ignition interlock device must be reasonable and be based upon good and substantial evidence. This determination is subject to review by a court of competent jurisdiction. The department may charge a person seeking a medical exemption under this subsection a reasonable fee for the assessment</w:t>
      </w:r>
      <w:r>
        <w:rPr/>
        <w:t xml:space="preserve">.</w:t>
      </w:r>
    </w:p>
    <w:p>
      <w:pPr>
        <w:spacing w:before="0" w:after="0" w:line="408" w:lineRule="exact"/>
        <w:ind w:left="0" w:right="0" w:firstLine="576"/>
        <w:jc w:val="left"/>
      </w:pPr>
      <w:r>
        <w:rPr/>
        <w:t xml:space="preserve">(4) </w:t>
      </w:r>
      <w:r>
        <w:rPr>
          <w:b/>
        </w:rPr>
        <w:t xml:space="preserve">Requirements for removal.</w:t>
      </w:r>
      <w:r>
        <w:rPr/>
        <w:t xml:space="preserve"> A restriction imposed under subsection (1)(c) or (d) of this section shall remain in effect until the department receives a declaration from the person's ignition interlock device vendor, in a form provided or approved by the department, certifying that there have been none of the following incidents in the </w:t>
      </w:r>
      <w:r>
        <w:t>((</w:t>
      </w:r>
      <w:r>
        <w:rPr>
          <w:strike/>
        </w:rPr>
        <w:t xml:space="preserve">four</w:t>
      </w:r>
      <w:r>
        <w:t>))</w:t>
      </w:r>
      <w:r>
        <w:rPr/>
        <w:t xml:space="preserve"> </w:t>
      </w:r>
      <w:r>
        <w:rPr>
          <w:u w:val="single"/>
        </w:rPr>
        <w:t xml:space="preserve">one hundred eighty</w:t>
      </w:r>
      <w:r>
        <w:rPr/>
        <w:t xml:space="preserve"> consecutive </w:t>
      </w:r>
      <w:r>
        <w:t>((</w:t>
      </w:r>
      <w:r>
        <w:rPr>
          <w:strike/>
        </w:rPr>
        <w:t xml:space="preserve">months</w:t>
      </w:r>
      <w:r>
        <w:t>))</w:t>
      </w:r>
      <w:r>
        <w:rPr/>
        <w:t xml:space="preserve"> </w:t>
      </w:r>
      <w:r>
        <w:rPr>
          <w:u w:val="single"/>
        </w:rPr>
        <w:t xml:space="preserve">days</w:t>
      </w:r>
      <w:r>
        <w:rPr/>
        <w:t xml:space="preserve"> prior to the date of release:</w:t>
      </w:r>
    </w:p>
    <w:p>
      <w:pPr>
        <w:spacing w:before="0" w:after="0" w:line="408" w:lineRule="exact"/>
        <w:ind w:left="0" w:right="0" w:firstLine="576"/>
        <w:jc w:val="left"/>
      </w:pPr>
      <w:r>
        <w:rPr/>
        <w:t xml:space="preserve">(a) Any attempt to start the vehicle with a breath alcohol concentration of 0.04 or more unless a subsequent test performed within ten minutes registers a breath alcohol concentration lower than 0.04 and the digital image confirms the same person provided both samples;</w:t>
      </w:r>
    </w:p>
    <w:p>
      <w:pPr>
        <w:spacing w:before="0" w:after="0" w:line="408" w:lineRule="exact"/>
        <w:ind w:left="0" w:right="0" w:firstLine="576"/>
        <w:jc w:val="left"/>
      </w:pPr>
      <w:r>
        <w:rPr/>
        <w:t xml:space="preserve">(b)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t xml:space="preserve">(c) Failure to pass any random retest with a breath alcohol concentration of 0.025 or lower unless a subsequent test performed within ten minutes registers a breath alcohol concentration lower than 0.025, and the digital image confirms the same person provided both samples; or</w:t>
      </w:r>
    </w:p>
    <w:p>
      <w:pPr>
        <w:spacing w:before="0" w:after="0" w:line="408" w:lineRule="exact"/>
        <w:ind w:left="0" w:right="0" w:firstLine="576"/>
        <w:jc w:val="left"/>
      </w:pPr>
      <w:r>
        <w:rPr/>
        <w:t xml:space="preserve">(d) Failure of the person to appear at the ignition interlock device vendor when required for maintenance, repair, calibration, monitoring, inspection, or replacement of the device.</w:t>
      </w:r>
    </w:p>
    <w:p>
      <w:pPr>
        <w:spacing w:before="0" w:after="0" w:line="408" w:lineRule="exact"/>
        <w:ind w:left="0" w:right="0" w:firstLine="576"/>
        <w:jc w:val="left"/>
      </w:pPr>
      <w:r>
        <w:rPr/>
        <w:t xml:space="preserve">(5) </w:t>
      </w:r>
      <w:r>
        <w:rPr>
          <w:b/>
        </w:rPr>
        <w:t xml:space="preserve">Day-for-day credit.</w:t>
      </w:r>
      <w:r>
        <w:rPr/>
        <w:t xml:space="preserve"> (a) The time period during which a person has an ignition interlock device installed in order to meet the requirements of subsection (1)(b) of this section shall apply on a day-for-day basis toward satisfying the period of time the ignition interlock device restriction is imposed under subsection (1)(c) or (d) of this section arising out of the same incident.</w:t>
      </w:r>
    </w:p>
    <w:p>
      <w:pPr>
        <w:spacing w:before="0" w:after="0" w:line="408" w:lineRule="exact"/>
        <w:ind w:left="0" w:right="0" w:firstLine="576"/>
        <w:jc w:val="left"/>
      </w:pPr>
      <w:r>
        <w:rPr/>
        <w:t xml:space="preserve">(b) The department must also give the person a day-for-day credit for any time period, beginning from the date of the incident, during which the person kept an ignition interlock device installed on all vehicles the person operates, other than those subject to the employer exemption under subsection (6) of this section.</w:t>
      </w:r>
    </w:p>
    <w:p>
      <w:pPr>
        <w:spacing w:before="0" w:after="0" w:line="408" w:lineRule="exact"/>
        <w:ind w:left="0" w:right="0" w:firstLine="576"/>
        <w:jc w:val="left"/>
      </w:pPr>
      <w:r>
        <w:rPr/>
        <w:t xml:space="preserve">(c) If the day-for-day credit granted under this subsection equals or exceeds the period of time the ignition interlock device restriction is imposed under subsection (1)(c) or (d) of this section arising out of the same incident, and the person has already met the requirements for removal of the device under subsection (4) of this section, the department may waive the requirement that a device be installed or that the person again meet the requirements for removal.</w:t>
      </w:r>
    </w:p>
    <w:p>
      <w:pPr>
        <w:spacing w:before="0" w:after="0" w:line="408" w:lineRule="exact"/>
        <w:ind w:left="0" w:right="0" w:firstLine="576"/>
        <w:jc w:val="left"/>
      </w:pPr>
      <w:r>
        <w:rPr/>
        <w:t xml:space="preserve">(6) </w:t>
      </w:r>
      <w:r>
        <w:rPr>
          <w:b/>
        </w:rPr>
        <w:t xml:space="preserve">Employer exemption.</w:t>
      </w:r>
      <w:r>
        <w:rPr/>
        <w:t xml:space="preserve"> (a) Except as provided in (b)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w:t>
      </w:r>
    </w:p>
    <w:p>
      <w:pPr>
        <w:spacing w:before="0" w:after="0" w:line="408" w:lineRule="exact"/>
        <w:ind w:left="0" w:right="0" w:firstLine="576"/>
        <w:jc w:val="left"/>
      </w:pPr>
      <w:r>
        <w:rPr/>
        <w:t xml:space="preserve">(b) The employer exemption does not apply when the employer's vehicle is assigned exclusively to the restricted driver and used solely for commuting to and from employment.</w:t>
      </w:r>
    </w:p>
    <w:p>
      <w:pPr>
        <w:spacing w:before="0" w:after="0" w:line="408" w:lineRule="exact"/>
        <w:ind w:left="0" w:right="0" w:firstLine="576"/>
        <w:jc w:val="left"/>
      </w:pPr>
      <w:r>
        <w:rPr/>
        <w:t xml:space="preserve">(7) </w:t>
      </w:r>
      <w:r>
        <w:rPr>
          <w:b/>
        </w:rPr>
        <w:t xml:space="preserve">Ignition interlock device revolving account.</w:t>
      </w:r>
      <w:r>
        <w:rPr/>
        <w:t xml:space="preserve"> In addition to any other costs associated with the use of an ignition interlock device imposed on the person restricted under this section, the person shall pay an additional fee of twenty dollars per month. Payments must be made directly to the ignition interlock company. The company shall remit the additional </w:t>
      </w:r>
      <w:r>
        <w:t>((</w:t>
      </w:r>
      <w:r>
        <w:rPr>
          <w:strike/>
        </w:rPr>
        <w:t xml:space="preserve">twenty dollar</w:t>
      </w:r>
      <w:r>
        <w:t>))</w:t>
      </w:r>
      <w:r>
        <w:rPr/>
        <w:t xml:space="preserve"> fee to the department to be deposited into the ignition interlock device revolving account</w:t>
      </w:r>
      <w:r>
        <w:rPr>
          <w:u w:val="single"/>
        </w:rPr>
        <w:t xml:space="preserve">, except that the company may retain one dollar per month of the additional fee to cover the expenses associated with administering the fee</w:t>
      </w:r>
      <w:r>
        <w:rPr/>
        <w:t xml:space="preserve">. The department may waive the monthly fee if the person is indigent under RCW 10.101.010.</w:t>
      </w:r>
    </w:p>
    <w:p>
      <w:pPr>
        <w:spacing w:before="0" w:after="0" w:line="408" w:lineRule="exact"/>
        <w:ind w:left="0" w:right="0" w:firstLine="576"/>
        <w:jc w:val="left"/>
      </w:pPr>
      <w:r>
        <w:rPr/>
        <w:t xml:space="preserve">(8) </w:t>
      </w:r>
      <w:r>
        <w:rPr>
          <w:b/>
        </w:rPr>
        <w:t xml:space="preserve">Foreign jurisdiction.</w:t>
      </w:r>
      <w:r>
        <w:rPr/>
        <w:t xml:space="preserve"> For a person restricted under this section who is residing outside of the state of Washington, the department may accept verification of installation of an ignition interlock device by an ignition interlock company authorized to do business in the jurisdiction in which the person resides, provided the device meets any applicable requirements of that jurisdiction. The department may waive the monthly fee required by subsection (7) of this section if collection of the fee would be impractical in the case of a person residing in another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2016 sp.s. c 29 s 530 and 2016 c 203 s 17 are each reenacted and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w:t>
      </w:r>
      <w:r>
        <w:t>((</w:t>
      </w:r>
      <w:r>
        <w:rPr>
          <w:strike/>
        </w:rPr>
        <w:t xml:space="preserve">minimum</w:t>
      </w:r>
      <w:r>
        <w:t>))</w:t>
      </w:r>
      <w:r>
        <w:rPr/>
        <w:t xml:space="preserve"> term of </w:t>
      </w:r>
      <w:r>
        <w:t>((</w:t>
      </w:r>
      <w:r>
        <w:rPr>
          <w:strike/>
        </w:rPr>
        <w:t xml:space="preserve">sixty days</w:t>
      </w:r>
      <w:r>
        <w:t>))</w:t>
      </w:r>
      <w:r>
        <w:rPr/>
        <w:t xml:space="preserve"> </w:t>
      </w:r>
      <w:r>
        <w:rPr>
          <w:u w:val="single"/>
        </w:rPr>
        <w:t xml:space="preserve">imprisonment and</w:t>
      </w:r>
      <w:r>
        <w:rPr/>
        <w:t xml:space="preserve"> electronic home monitoring </w:t>
      </w:r>
      <w:r>
        <w:rPr>
          <w:u w:val="single"/>
        </w:rPr>
        <w:t xml:space="preserve">under this subsection (2)(a)(i)</w:t>
      </w:r>
      <w:r>
        <w:rPr/>
        <w:t xml:space="preserve">, the court may order </w:t>
      </w:r>
      <w:r>
        <w:t>((</w:t>
      </w:r>
      <w:r>
        <w:rPr>
          <w:strike/>
        </w:rPr>
        <w:t xml:space="preserve">at least an additional four days in jail or, if available in that county or city, a six-month</w:t>
      </w:r>
      <w:r>
        <w:t>))</w:t>
      </w:r>
      <w:r>
        <w:rPr/>
        <w:t xml:space="preserve"> </w:t>
      </w:r>
      <w:r>
        <w:rPr>
          <w:u w:val="single"/>
        </w:rPr>
        <w:t xml:space="preserve">one hundred twenty days of electronic home monitoring or a one hundred twenty-day</w:t>
      </w:r>
      <w:r>
        <w:rPr/>
        <w:t xml:space="preserve"> period of 24/7 sobriety program monitoring pursuant to RCW 36.28A.300 through 36.28A.390</w:t>
      </w:r>
      <w:r>
        <w:t>((</w:t>
      </w:r>
      <w:r>
        <w:rPr>
          <w:strike/>
        </w:rPr>
        <w:t xml:space="preserve">, and</w:t>
      </w:r>
      <w:r>
        <w:t>))</w:t>
      </w:r>
      <w:r>
        <w:rPr>
          <w:u w:val="single"/>
        </w:rPr>
        <w:t xml:space="preserve">. The court may consider the offender's pretrial 24/7 sobriety program monitoring as fulfilling a portion of posttrial sentencing. T</w:t>
      </w:r>
      <w:r>
        <w:rPr/>
        <w:t xml:space="preserve">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w:t>
      </w:r>
      <w:r>
        <w:t>((</w:t>
      </w:r>
      <w:r>
        <w:rPr>
          <w:strike/>
        </w:rPr>
        <w:t xml:space="preserve">ninety days</w:t>
      </w:r>
      <w:r>
        <w:t>))</w:t>
      </w:r>
      <w:r>
        <w:rPr/>
        <w:t xml:space="preserve"> </w:t>
      </w:r>
      <w:r>
        <w:rPr>
          <w:u w:val="single"/>
        </w:rPr>
        <w:t xml:space="preserve">imprisonment and</w:t>
      </w:r>
      <w:r>
        <w:rPr/>
        <w:t xml:space="preserve"> electronic home monitoring </w:t>
      </w:r>
      <w:r>
        <w:rPr>
          <w:u w:val="single"/>
        </w:rPr>
        <w:t xml:space="preserve">under this subsection (2)(b)(i)</w:t>
      </w:r>
      <w:r>
        <w:rPr/>
        <w:t xml:space="preserve">, the court may order </w:t>
      </w:r>
      <w:r>
        <w:t>((</w:t>
      </w:r>
      <w:r>
        <w:rPr>
          <w:strike/>
        </w:rPr>
        <w:t xml:space="preserve">at least an additional six days in jail or, if available in that county or city,</w:t>
      </w:r>
      <w:r>
        <w:t>))</w:t>
      </w:r>
      <w:r>
        <w:rPr/>
        <w:t xml:space="preserve"> </w:t>
      </w:r>
      <w:r>
        <w:rPr>
          <w:u w:val="single"/>
        </w:rPr>
        <w:t xml:space="preserve">six months of electronic home monitoring or</w:t>
      </w:r>
      <w:r>
        <w:rPr/>
        <w:t xml:space="preserve"> a six-month period of 24/7 sobriety program monitoring pursuant to RCW 36.28A.300 through 36.28A.390</w:t>
      </w:r>
      <w:r>
        <w:t>((</w:t>
      </w:r>
      <w:r>
        <w:rPr>
          <w:strike/>
        </w:rPr>
        <w:t xml:space="preserve">, and</w:t>
      </w:r>
      <w:r>
        <w:t>))</w:t>
      </w:r>
      <w:r>
        <w:rPr>
          <w:u w:val="single"/>
        </w:rPr>
        <w:t xml:space="preserve">. The court may consider the offender's pretrial 24/7 sobriety program monitoring as fulfilling a portion of posttrial sentencing. T</w:t>
      </w:r>
      <w:r>
        <w:rPr/>
        <w:t xml:space="preserve">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rPr/>
        <w:t xml:space="preserve">(ii) Where there has been one prior offense within seven years, be revoked or denied by the department for two years </w:t>
      </w:r>
      <w:r>
        <w:rPr>
          <w:u w:val="single"/>
        </w:rPr>
        <w:t xml:space="preserve">or until the person is evaluated by an alcoholism agency or probation department pursuant to RCW 46.20.311 and the person completes or is enrolled in a six-month period of 24/7 sobriety program monitoring. In no circumstances shall the license suspension be for less than one year</w:t>
      </w:r>
      <w:r>
        <w:rPr/>
        <w:t xml:space="preserve">;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506</w:t>
      </w:r>
      <w:r>
        <w:rPr/>
        <w:t xml:space="preserve"> and 2016 c 203 s 8 are each amended to read as follows:</w:t>
      </w:r>
    </w:p>
    <w:p>
      <w:pPr>
        <w:spacing w:before="0" w:after="0" w:line="408" w:lineRule="exact"/>
        <w:ind w:left="0" w:right="0" w:firstLine="576"/>
        <w:jc w:val="left"/>
      </w:pPr>
      <w:r>
        <w:rPr/>
        <w:t xml:space="preserve">(1) Upon the trial of any civil or criminal action or proceeding arising out of acts alleged to have been committed by any person while driving or in actual physical control of a vehicle while under the influence of intoxicating liquor or any drug, if the person's alcohol concentration is less than 0.08 or the person's THC concentration is less than 5.00, it is evidence that may be considered with other competent evidence in determining whether the person was under the influence of intoxicating liquor or any drug.</w:t>
      </w:r>
    </w:p>
    <w:p>
      <w:pPr>
        <w:spacing w:before="0" w:after="0" w:line="408" w:lineRule="exact"/>
        <w:ind w:left="0" w:right="0" w:firstLine="576"/>
        <w:jc w:val="left"/>
      </w:pPr>
      <w:r>
        <w:rPr/>
        <w:t xml:space="preserve">(2)(a) The breath analysis of the person's alcohol concentration shall be based upon grams of alcohol per two hundred ten liters of breath.</w:t>
      </w:r>
    </w:p>
    <w:p>
      <w:pPr>
        <w:spacing w:before="0" w:after="0" w:line="408" w:lineRule="exact"/>
        <w:ind w:left="0" w:right="0" w:firstLine="576"/>
        <w:jc w:val="left"/>
      </w:pPr>
      <w:r>
        <w:rPr/>
        <w:t xml:space="preserve">(b) The blood analysis of the person's THC concentration shall be based upon nanograms per milliliter of whole blood.</w:t>
      </w:r>
    </w:p>
    <w:p>
      <w:pPr>
        <w:spacing w:before="0" w:after="0" w:line="408" w:lineRule="exact"/>
        <w:ind w:left="0" w:right="0" w:firstLine="576"/>
        <w:jc w:val="left"/>
      </w:pPr>
      <w:r>
        <w:rPr/>
        <w:t xml:space="preserve">(c) The foregoing provisions of this section shall not be construed as limiting the introduction of any other competent evidence bearing upon the question whether the person was under the influence of intoxicating liquor or any drug.</w:t>
      </w:r>
    </w:p>
    <w:p>
      <w:pPr>
        <w:spacing w:before="0" w:after="0" w:line="408" w:lineRule="exact"/>
        <w:ind w:left="0" w:right="0" w:firstLine="576"/>
        <w:jc w:val="left"/>
      </w:pPr>
      <w:r>
        <w:rPr/>
        <w:t xml:space="preserve">(3) Analysis of the person's blood or breath to be considered valid under the provisions of this section or RCW 46.61.502 or 46.61.504 shall have been performed according to methods approved by the state toxicologist and by an individual possessing a valid permit issued by the state toxicologist for this purpose. The state toxicologist is directed to approve satisfactory techniques or methods, to supervise the examination of individuals to ascertain their qualifications and competence to conduct such analyses, and to issue permits which shall be subject to termination or revocation at the discretion of the state toxicologist.</w:t>
      </w:r>
    </w:p>
    <w:p>
      <w:pPr>
        <w:spacing w:before="0" w:after="0" w:line="408" w:lineRule="exact"/>
        <w:ind w:left="0" w:right="0" w:firstLine="576"/>
        <w:jc w:val="left"/>
      </w:pPr>
      <w:r>
        <w:rPr/>
        <w:t xml:space="preserve">(4)(a) A breath test performed by any instrument approved by the state toxicologist shall be admissible at trial or in an administrative proceeding if the prosecution or department produces prima facie evidence of the following:</w:t>
      </w:r>
    </w:p>
    <w:p>
      <w:pPr>
        <w:spacing w:before="0" w:after="0" w:line="408" w:lineRule="exact"/>
        <w:ind w:left="0" w:right="0" w:firstLine="576"/>
        <w:jc w:val="left"/>
      </w:pPr>
      <w:r>
        <w:rPr/>
        <w:t xml:space="preserve">(i) The person who performed the test was authorized to perform such test by the state toxicologist;</w:t>
      </w:r>
    </w:p>
    <w:p>
      <w:pPr>
        <w:spacing w:before="0" w:after="0" w:line="408" w:lineRule="exact"/>
        <w:ind w:left="0" w:right="0" w:firstLine="576"/>
        <w:jc w:val="left"/>
      </w:pPr>
      <w:r>
        <w:rPr/>
        <w:t xml:space="preserve">(ii) The person being tested did not vomit or have anything to eat, drink, or smoke for at least fifteen minutes prior to administration of the test;</w:t>
      </w:r>
    </w:p>
    <w:p>
      <w:pPr>
        <w:spacing w:before="0" w:after="0" w:line="408" w:lineRule="exact"/>
        <w:ind w:left="0" w:right="0" w:firstLine="576"/>
        <w:jc w:val="left"/>
      </w:pPr>
      <w:r>
        <w:rPr/>
        <w:t xml:space="preserve">(iii) The person being tested did not have any foreign substances, not to include dental work </w:t>
      </w:r>
      <w:r>
        <w:rPr>
          <w:u w:val="single"/>
        </w:rPr>
        <w:t xml:space="preserve">or piercings</w:t>
      </w:r>
      <w:r>
        <w:rPr/>
        <w:t xml:space="preserve">, fixed or removable, in his or her mouth at the beginning of the fifteen-minute observation period;</w:t>
      </w:r>
    </w:p>
    <w:p>
      <w:pPr>
        <w:spacing w:before="0" w:after="0" w:line="408" w:lineRule="exact"/>
        <w:ind w:left="0" w:right="0" w:firstLine="576"/>
        <w:jc w:val="left"/>
      </w:pPr>
      <w:r>
        <w:rPr/>
        <w:t xml:space="preserve">(iv) Prior to the start of the test, the temperature of any liquid simulator solution utilized as an external standard, as measured by a thermometer approved of by the state toxicologist was thirty-four degrees centigrade plus or minus 0.3 degrees centigrade;</w:t>
      </w:r>
    </w:p>
    <w:p>
      <w:pPr>
        <w:spacing w:before="0" w:after="0" w:line="408" w:lineRule="exact"/>
        <w:ind w:left="0" w:right="0" w:firstLine="576"/>
        <w:jc w:val="left"/>
      </w:pPr>
      <w:r>
        <w:rPr/>
        <w:t xml:space="preserve">(v) The internal standard test resulted in the message "verified";</w:t>
      </w:r>
    </w:p>
    <w:p>
      <w:pPr>
        <w:spacing w:before="0" w:after="0" w:line="408" w:lineRule="exact"/>
        <w:ind w:left="0" w:right="0" w:firstLine="576"/>
        <w:jc w:val="left"/>
      </w:pPr>
      <w:r>
        <w:rPr/>
        <w:t xml:space="preserve">(vi) The two breath samples agree to within plus or minus ten percent of their mean to be determined by the method approved by the state toxicologist;</w:t>
      </w:r>
    </w:p>
    <w:p>
      <w:pPr>
        <w:spacing w:before="0" w:after="0" w:line="408" w:lineRule="exact"/>
        <w:ind w:left="0" w:right="0" w:firstLine="576"/>
        <w:jc w:val="left"/>
      </w:pPr>
      <w:r>
        <w:rPr/>
        <w:t xml:space="preserve">(vii) The result of the test of the liquid simulator solution external standard or dry gas external standard result did lie between .072 to .088 inclusive; and</w:t>
      </w:r>
    </w:p>
    <w:p>
      <w:pPr>
        <w:spacing w:before="0" w:after="0" w:line="408" w:lineRule="exact"/>
        <w:ind w:left="0" w:right="0" w:firstLine="576"/>
        <w:jc w:val="left"/>
      </w:pPr>
      <w:r>
        <w:rPr/>
        <w:t xml:space="preserve">(viii) All blank tests gave results of .000.</w:t>
      </w:r>
    </w:p>
    <w:p>
      <w:pPr>
        <w:spacing w:before="0" w:after="0" w:line="408" w:lineRule="exact"/>
        <w:ind w:left="0" w:right="0" w:firstLine="576"/>
        <w:jc w:val="left"/>
      </w:pPr>
      <w:r>
        <w:rPr/>
        <w:t xml:space="preserve">(b) For purposes of this section, "prima facie evidence" is evidence of sufficient circumstances that would support a logical and reasonable inference of the facts sought to be proved. In assessing whether there is sufficient evidence of the foundational facts, the court or administrative tribunal is to assume the truth of the prosecution's or department's evidence and all reasonable inferences from it in a light most favorable to the prosecution or department.</w:t>
      </w:r>
    </w:p>
    <w:p>
      <w:pPr>
        <w:spacing w:before="0" w:after="0" w:line="408" w:lineRule="exact"/>
        <w:ind w:left="0" w:right="0" w:firstLine="576"/>
        <w:jc w:val="left"/>
      </w:pPr>
      <w:r>
        <w:rPr/>
        <w:t xml:space="preserve">(c) Nothing in this section shall be deemed to prevent the subject of the test from challenging the reliability or accuracy of the test, the reliability or functioning of the instrument, or any maintenance procedures. Such challenges, however, shall not preclude the admissibility of the test once the prosecution or department has made a prima facie showing of the requirements contained in (a) of this subsection. Instead, such challenges may be considered by the trier of fact in determining what weight to give to the test result.</w:t>
      </w:r>
    </w:p>
    <w:p>
      <w:pPr>
        <w:spacing w:before="0" w:after="0" w:line="408" w:lineRule="exact"/>
        <w:ind w:left="0" w:right="0" w:firstLine="576"/>
        <w:jc w:val="left"/>
      </w:pPr>
      <w:r>
        <w:rPr/>
        <w:t xml:space="preserve">(5) When a blood test is administered under the provisions of RCW 46.20.308, the withdrawal of blood for the purpose of determining its alcoholic or drug content may be performed only by a physician licensed under chapter 18.71 RCW; an osteopathic physician licensed under chapter 18.57 RCW; a registered nurse, licensed practical nurse, or advanced registered nurse practitioner licensed under chapter 18.79 RCW; a physician assistant licensed under chapter 18.71A RCW; an osteopathic physician assistant licensed under chapter 18.57A RCW; </w:t>
      </w:r>
      <w:r>
        <w:t>((</w:t>
      </w:r>
      <w:r>
        <w:rPr>
          <w:strike/>
        </w:rPr>
        <w:t xml:space="preserve">an advanced emergency medical technician or paramedic licensed under chapter 18.73 RCW</w:t>
      </w:r>
      <w:r>
        <w:t>))</w:t>
      </w:r>
      <w:r>
        <w:rPr/>
        <w:t xml:space="preserve"> </w:t>
      </w:r>
      <w:r>
        <w:rPr>
          <w:u w:val="single"/>
        </w:rPr>
        <w:t xml:space="preserve">a physician's trained advanced emergency medical technician and paramedic certified under chapter 18.71 RCW, provided that performance of the withdrawal is consistent with the protocols of the physician's trained advanced emergency medical technician and paramedic's employing agency</w:t>
      </w:r>
      <w:r>
        <w:rPr/>
        <w:t xml:space="preserve">; until July 1, 2016, a health care assistant certified under chapter 18.135 RCW; or a medical assistant-certified or medical assistant-phlebotomist certified under chapter 18.360 RCW. Proof of qualification to draw blood may be established through the department of health's provider credential search. </w:t>
      </w:r>
      <w:r>
        <w:t>((</w:t>
      </w:r>
      <w:r>
        <w:rPr>
          <w:strike/>
        </w:rPr>
        <w:t xml:space="preserve">This</w:t>
      </w:r>
      <w:r>
        <w:t>))</w:t>
      </w:r>
      <w:r>
        <w:rPr/>
        <w:t xml:space="preserve"> </w:t>
      </w:r>
      <w:r>
        <w:rPr>
          <w:u w:val="single"/>
        </w:rPr>
        <w:t xml:space="preserve">When withdrawal of blood for the purpose of determining its alcoholic or drug content is performed outside Washington state, the withdrawal may be performed by any health care provider lawfully authorized to perform a withdrawal for that purpose in the state in which the withdrawal takes place. These</w:t>
      </w:r>
      <w:r>
        <w:rPr/>
        <w:t xml:space="preserve"> limitation</w:t>
      </w:r>
      <w:r>
        <w:rPr>
          <w:u w:val="single"/>
        </w:rPr>
        <w:t xml:space="preserve">s</w:t>
      </w:r>
      <w:r>
        <w:rPr/>
        <w:t xml:space="preserve"> shall not apply to the taking of breath specimens.</w:t>
      </w:r>
    </w:p>
    <w:p>
      <w:pPr>
        <w:spacing w:before="0" w:after="0" w:line="408" w:lineRule="exact"/>
        <w:ind w:left="0" w:right="0" w:firstLine="576"/>
        <w:jc w:val="left"/>
      </w:pPr>
      <w:r>
        <w:rPr/>
        <w:t xml:space="preserve">(6) The person tested may have a licensed or certified health care provider listed in subsection (5) of this section, or a qualified technician, chemist, or other qualified person of his or her own choosing administer one or more tests in addition to any administered at the direction of a law enforcement officer. The test will be admissible if the person establishes the general acceptability of the testing technique or method. The failure or inability to obtain an additional test by a person shall not preclude the admission of evidence relating to the test or tests taken at the direction of a law enforcement officer.</w:t>
      </w:r>
    </w:p>
    <w:p>
      <w:pPr>
        <w:spacing w:before="0" w:after="0" w:line="408" w:lineRule="exact"/>
        <w:ind w:left="0" w:right="0" w:firstLine="576"/>
        <w:jc w:val="left"/>
      </w:pPr>
      <w:r>
        <w:rPr/>
        <w:t xml:space="preserve">(7) Upon the request of the person who shall submit to a test or tests at the request of a law enforcement officer, full information concerning the test or tests shall be made available to him or her or his or her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508</w:t>
      </w:r>
      <w:r>
        <w:rPr/>
        <w:t xml:space="preserve"> and 2015 2nd sp.s. c 3 s 23 are each amended to read as follows:</w:t>
      </w:r>
    </w:p>
    <w:p>
      <w:pPr>
        <w:spacing w:before="0" w:after="0" w:line="408" w:lineRule="exact"/>
        <w:ind w:left="0" w:right="0" w:firstLine="576"/>
        <w:jc w:val="left"/>
      </w:pPr>
      <w:r>
        <w:rPr/>
        <w:t xml:space="preserve">No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w:t>
      </w:r>
      <w:r>
        <w:rPr>
          <w:u w:val="single"/>
        </w:rPr>
        <w:t xml:space="preserve">physician's trained</w:t>
      </w:r>
      <w:r>
        <w:rPr/>
        <w:t xml:space="preserve"> advanced emergency medical technician </w:t>
      </w:r>
      <w:r>
        <w:t>((</w:t>
      </w:r>
      <w:r>
        <w:rPr>
          <w:strike/>
        </w:rPr>
        <w:t xml:space="preserve">or</w:t>
      </w:r>
      <w:r>
        <w:t>))</w:t>
      </w:r>
      <w:r>
        <w:rPr/>
        <w:t xml:space="preserve"> </w:t>
      </w:r>
      <w:r>
        <w:rPr>
          <w:u w:val="single"/>
        </w:rPr>
        <w:t xml:space="preserve">and</w:t>
      </w:r>
      <w:r>
        <w:rPr/>
        <w:t xml:space="preserve"> paramedic </w:t>
      </w:r>
      <w:r>
        <w:t>((</w:t>
      </w:r>
      <w:r>
        <w:rPr>
          <w:strike/>
        </w:rPr>
        <w:t xml:space="preserve">licensed</w:t>
      </w:r>
      <w:r>
        <w:t>))</w:t>
      </w:r>
      <w:r>
        <w:rPr/>
        <w:t xml:space="preserve"> </w:t>
      </w:r>
      <w:r>
        <w:rPr>
          <w:u w:val="single"/>
        </w:rPr>
        <w:t xml:space="preserve">certified</w:t>
      </w:r>
      <w:r>
        <w:rPr/>
        <w:t xml:space="preserve"> under chapter </w:t>
      </w:r>
      <w:r>
        <w:t>((</w:t>
      </w:r>
      <w:r>
        <w:rPr>
          <w:strike/>
        </w:rPr>
        <w:t xml:space="preserve">18.73</w:t>
      </w:r>
      <w:r>
        <w:t>))</w:t>
      </w:r>
      <w:r>
        <w:rPr/>
        <w:t xml:space="preserve"> </w:t>
      </w:r>
      <w:r>
        <w:rPr>
          <w:u w:val="single"/>
        </w:rPr>
        <w:t xml:space="preserve">18.71</w:t>
      </w:r>
      <w:r>
        <w:rPr/>
        <w:t xml:space="preserve"> RCW; until July 1, 2016, health care assistant certified under chapter 18.135 RCW; or medical assistant-certified or medical assistant-phlebotomist certified under chapter 18.360 RCW, or hospital, or duly licensed clinical laboratory employing or utilizing services of such licensed or certified health care provider, shall incur any civil or criminal liability as a result of the act of withdrawing blood from any person when directed by a law enforcement officer to do so for the purpose of a blood test under the provisions of a search warrant, a waiver of the search warrant requirement, exigent circumstances, any other authority of law, or RCW 46.20.308, as now or hereafter amended: PROVIDED, That nothing in this section shall relieve such licensed or certified health care provider, or hospital or duly licensed clinical laboratory from civil liability arising from the use of improper procedures or failing to exercise the required standard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410</w:t>
      </w:r>
      <w:r>
        <w:rPr/>
        <w:t xml:space="preserve"> and 2015 2nd sp.s. c 3 s 21 are each amended to read as follows:</w:t>
      </w:r>
    </w:p>
    <w:p>
      <w:pPr>
        <w:spacing w:before="0" w:after="0" w:line="408" w:lineRule="exact"/>
        <w:ind w:left="0" w:right="0" w:firstLine="576"/>
        <w:jc w:val="left"/>
      </w:pPr>
      <w:r>
        <w:rPr/>
        <w:t xml:space="preserve">It is not professional misconduct for a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w:t>
      </w:r>
      <w:r>
        <w:rPr>
          <w:u w:val="single"/>
        </w:rPr>
        <w:t xml:space="preserve">physician's trained</w:t>
      </w:r>
      <w:r>
        <w:rPr/>
        <w:t xml:space="preserve"> advanced emergency medical technician </w:t>
      </w:r>
      <w:r>
        <w:t>((</w:t>
      </w:r>
      <w:r>
        <w:rPr>
          <w:strike/>
        </w:rPr>
        <w:t xml:space="preserve">or</w:t>
      </w:r>
      <w:r>
        <w:t>))</w:t>
      </w:r>
      <w:r>
        <w:rPr/>
        <w:t xml:space="preserve"> </w:t>
      </w:r>
      <w:r>
        <w:rPr>
          <w:u w:val="single"/>
        </w:rPr>
        <w:t xml:space="preserve">and</w:t>
      </w:r>
      <w:r>
        <w:rPr/>
        <w:t xml:space="preserve"> paramedic </w:t>
      </w:r>
      <w:r>
        <w:t>((</w:t>
      </w:r>
      <w:r>
        <w:rPr>
          <w:strike/>
        </w:rPr>
        <w:t xml:space="preserve">licensed</w:t>
      </w:r>
      <w:r>
        <w:t>))</w:t>
      </w:r>
      <w:r>
        <w:rPr/>
        <w:t xml:space="preserve"> </w:t>
      </w:r>
      <w:r>
        <w:rPr>
          <w:u w:val="single"/>
        </w:rPr>
        <w:t xml:space="preserve">certified</w:t>
      </w:r>
      <w:r>
        <w:rPr/>
        <w:t xml:space="preserve"> under chapter </w:t>
      </w:r>
      <w:r>
        <w:t>((</w:t>
      </w:r>
      <w:r>
        <w:rPr>
          <w:strike/>
        </w:rPr>
        <w:t xml:space="preserve">18.73</w:t>
      </w:r>
      <w:r>
        <w:t>))</w:t>
      </w:r>
      <w:r>
        <w:rPr/>
        <w:t xml:space="preserve"> </w:t>
      </w:r>
      <w:r>
        <w:rPr>
          <w:u w:val="single"/>
        </w:rPr>
        <w:t xml:space="preserve">18.71</w:t>
      </w:r>
      <w:r>
        <w:rPr/>
        <w:t xml:space="preserve"> RCW; until July 1, 2016, health care assistant certified under chapter 18.135 RCW; or medical assistant-certified or medical assistant-phlebotomist certified under chapter 18.360 RCW, or hospital, or duly licensed clinical laboratory employing or utilizing services of such licensed or certified health care provider, to collect a blood sample without a person's consent when the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w:t>
      </w:r>
      <w:r>
        <w:rPr>
          <w:u w:val="single"/>
        </w:rPr>
        <w:t xml:space="preserve">physician's trained</w:t>
      </w:r>
      <w:r>
        <w:rPr/>
        <w:t xml:space="preserve"> advanced emergency medical technician </w:t>
      </w:r>
      <w:r>
        <w:t>((</w:t>
      </w:r>
      <w:r>
        <w:rPr>
          <w:strike/>
        </w:rPr>
        <w:t xml:space="preserve">or</w:t>
      </w:r>
      <w:r>
        <w:t>))</w:t>
      </w:r>
      <w:r>
        <w:rPr/>
        <w:t xml:space="preserve"> </w:t>
      </w:r>
      <w:r>
        <w:rPr>
          <w:u w:val="single"/>
        </w:rPr>
        <w:t xml:space="preserve">and</w:t>
      </w:r>
      <w:r>
        <w:rPr/>
        <w:t xml:space="preserve"> paramedic </w:t>
      </w:r>
      <w:r>
        <w:t>((</w:t>
      </w:r>
      <w:r>
        <w:rPr>
          <w:strike/>
        </w:rPr>
        <w:t xml:space="preserve">licensed</w:t>
      </w:r>
      <w:r>
        <w:t>))</w:t>
      </w:r>
      <w:r>
        <w:rPr/>
        <w:t xml:space="preserve"> </w:t>
      </w:r>
      <w:r>
        <w:rPr>
          <w:u w:val="single"/>
        </w:rPr>
        <w:t xml:space="preserve">certified</w:t>
      </w:r>
      <w:r>
        <w:rPr/>
        <w:t xml:space="preserve"> under chapter </w:t>
      </w:r>
      <w:r>
        <w:t>((</w:t>
      </w:r>
      <w:r>
        <w:rPr>
          <w:strike/>
        </w:rPr>
        <w:t xml:space="preserve">18.73</w:t>
      </w:r>
      <w:r>
        <w:t>))</w:t>
      </w:r>
      <w:r>
        <w:rPr/>
        <w:t xml:space="preserve"> </w:t>
      </w:r>
      <w:r>
        <w:rPr>
          <w:u w:val="single"/>
        </w:rPr>
        <w:t xml:space="preserve">18.71</w:t>
      </w:r>
      <w:r>
        <w:rPr/>
        <w:t xml:space="preserve"> RCW; until July 1, 2016, health care assistant certified under chapter 18.135 RCW; or medical assistant-certified or medical assistant-phlebotomist certified under chapter 18.360 RCW, or hospital, or duly licensed clinical laboratory employing or utilizing services of such licensed or certified health care provider withdrawing blood was directed by a law enforcement officer to do so for the purpose of a blood test under the provisions of a search warrant or exigent circumstances: PROVIDED, That nothing in this section shall relieve a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w:t>
      </w:r>
      <w:r>
        <w:rPr>
          <w:u w:val="single"/>
        </w:rPr>
        <w:t xml:space="preserve">physician's trained</w:t>
      </w:r>
      <w:r>
        <w:rPr/>
        <w:t xml:space="preserve"> advanced emergency medical technician </w:t>
      </w:r>
      <w:r>
        <w:t>((</w:t>
      </w:r>
      <w:r>
        <w:rPr>
          <w:strike/>
        </w:rPr>
        <w:t xml:space="preserve">or</w:t>
      </w:r>
      <w:r>
        <w:t>))</w:t>
      </w:r>
      <w:r>
        <w:rPr/>
        <w:t xml:space="preserve"> </w:t>
      </w:r>
      <w:r>
        <w:rPr>
          <w:u w:val="single"/>
        </w:rPr>
        <w:t xml:space="preserve">and</w:t>
      </w:r>
      <w:r>
        <w:rPr/>
        <w:t xml:space="preserve"> paramedic </w:t>
      </w:r>
      <w:r>
        <w:t>((</w:t>
      </w:r>
      <w:r>
        <w:rPr>
          <w:strike/>
        </w:rPr>
        <w:t xml:space="preserve">licensed</w:t>
      </w:r>
      <w:r>
        <w:t>))</w:t>
      </w:r>
      <w:r>
        <w:rPr/>
        <w:t xml:space="preserve"> </w:t>
      </w:r>
      <w:r>
        <w:rPr>
          <w:u w:val="single"/>
        </w:rPr>
        <w:t xml:space="preserve">certified</w:t>
      </w:r>
      <w:r>
        <w:rPr/>
        <w:t xml:space="preserve"> under chapter </w:t>
      </w:r>
      <w:r>
        <w:t>((</w:t>
      </w:r>
      <w:r>
        <w:rPr>
          <w:strike/>
        </w:rPr>
        <w:t xml:space="preserve">18.73</w:t>
      </w:r>
      <w:r>
        <w:t>))</w:t>
      </w:r>
      <w:r>
        <w:rPr/>
        <w:t xml:space="preserve"> </w:t>
      </w:r>
      <w:r>
        <w:rPr>
          <w:u w:val="single"/>
        </w:rPr>
        <w:t xml:space="preserve">18.71</w:t>
      </w:r>
      <w:r>
        <w:rPr/>
        <w:t xml:space="preserve"> RCW; until July 1, 2016, health care assistant certified under chapter 18.135 RCW; or medical assistant-certified or medical assistant-phlebotomist certified under chapter 18.360 RCW, or hospital, or duly licensed clinical laboratory employing or utilizing services of such licensed or certified health care provider withdrawing blood from professional discipline arising from the use of improper procedures or from failing to exercise the required standard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517</w:t>
      </w:r>
      <w:r>
        <w:rPr/>
        <w:t xml:space="preserve"> and 2001 c 142 s 1 are each amended to read as follows:</w:t>
      </w:r>
    </w:p>
    <w:p>
      <w:pPr>
        <w:spacing w:before="0" w:after="0" w:line="408" w:lineRule="exact"/>
        <w:ind w:left="0" w:right="0" w:firstLine="576"/>
        <w:jc w:val="left"/>
      </w:pPr>
      <w:r>
        <w:rPr/>
        <w:t xml:space="preserve">The refusal of a person to submit to a test of the alcohol or drug concentration in the person's </w:t>
      </w:r>
      <w:r>
        <w:t>((</w:t>
      </w:r>
      <w:r>
        <w:rPr>
          <w:strike/>
        </w:rPr>
        <w:t xml:space="preserve">blood or</w:t>
      </w:r>
      <w:r>
        <w:t>))</w:t>
      </w:r>
      <w:r>
        <w:rPr/>
        <w:t xml:space="preserve"> breath under RCW 46.20.308 is admissible into evidence at a subsequent criminal trial. </w:t>
      </w:r>
      <w:r>
        <w:rPr>
          <w:u w:val="single"/>
        </w:rPr>
        <w:t xml:space="preserve">The refusal of a person to submit to a test of the person's blood is admissible into evidence at a subsequent criminal trial when a search warrant, or an exception to the search warrant, authorized the seizure.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64</w:t>
      </w:r>
      <w:r>
        <w:rPr/>
        <w:t xml:space="preserve">.</w:t>
      </w:r>
      <w:r>
        <w:t xml:space="preserve">025</w:t>
      </w:r>
      <w:r>
        <w:rPr/>
        <w:t xml:space="preserve"> and 2016 c 203 s 4 are each amended to read as follows:</w:t>
      </w:r>
    </w:p>
    <w:p>
      <w:pPr>
        <w:spacing w:before="0" w:after="0" w:line="408" w:lineRule="exact"/>
        <w:ind w:left="0" w:right="0" w:firstLine="576"/>
        <w:jc w:val="left"/>
      </w:pPr>
      <w:r>
        <w:rPr/>
        <w:t xml:space="preserve">Whenever any person served with</w:t>
      </w:r>
      <w:r>
        <w:rPr>
          <w:u w:val="single"/>
        </w:rPr>
        <w:t xml:space="preserve">, or provided notice of,</w:t>
      </w:r>
      <w:r>
        <w:rPr/>
        <w:t xml:space="preserve"> a traffic </w:t>
      </w:r>
      <w:r>
        <w:t>((</w:t>
      </w:r>
      <w:r>
        <w:rPr>
          <w:strike/>
        </w:rPr>
        <w:t xml:space="preserve">citation</w:t>
      </w:r>
      <w:r>
        <w:t>))</w:t>
      </w:r>
      <w:r>
        <w:rPr/>
        <w:t xml:space="preserve"> </w:t>
      </w:r>
      <w:r>
        <w:rPr>
          <w:u w:val="single"/>
        </w:rPr>
        <w:t xml:space="preserve">infraction</w:t>
      </w:r>
      <w:r>
        <w:rPr/>
        <w:t xml:space="preserve"> or a traffic-related criminal complaint willfully fails to appear at a requested hearing for a moving violation</w:t>
      </w:r>
      <w:r>
        <w:rPr>
          <w:u w:val="single"/>
        </w:rPr>
        <w:t xml:space="preserve">,</w:t>
      </w:r>
      <w:r>
        <w:rPr/>
        <w:t xml:space="preserve"> or fails to comply with the terms of a notice of </w:t>
      </w:r>
      <w:r>
        <w:t>((</w:t>
      </w:r>
      <w:r>
        <w:rPr>
          <w:strike/>
        </w:rPr>
        <w:t xml:space="preserve">traffic citation</w:t>
      </w:r>
      <w:r>
        <w:t>))</w:t>
      </w:r>
      <w:r>
        <w:rPr/>
        <w:t xml:space="preserve"> </w:t>
      </w:r>
      <w:r>
        <w:rPr>
          <w:u w:val="single"/>
        </w:rPr>
        <w:t xml:space="preserve">infraction</w:t>
      </w:r>
      <w:r>
        <w:rPr/>
        <w:t xml:space="preserve"> for a moving violation or a traffic-related criminal complaint, the court </w:t>
      </w:r>
      <w:r>
        <w:t>((</w:t>
      </w:r>
      <w:r>
        <w:rPr>
          <w:strike/>
        </w:rPr>
        <w:t xml:space="preserve">in which the defendant failed to appear</w:t>
      </w:r>
      <w:r>
        <w:t>))</w:t>
      </w:r>
      <w:r>
        <w:rPr/>
        <w:t xml:space="preserve"> </w:t>
      </w:r>
      <w:r>
        <w:rPr>
          <w:u w:val="single"/>
        </w:rPr>
        <w:t xml:space="preserve">with jurisdiction over the traffic infraction or traffic-related criminal complaint</w:t>
      </w:r>
      <w:r>
        <w:rPr/>
        <w:t xml:space="preserve"> shall promptly give notice of such fact to the department of licensing. Whenever thereafter the case in which the defendant failed to appear </w:t>
      </w:r>
      <w:r>
        <w:rPr>
          <w:u w:val="single"/>
        </w:rPr>
        <w:t xml:space="preserve">or comply</w:t>
      </w:r>
      <w:r>
        <w:rPr/>
        <w:t xml:space="preserve"> is adjudicated, the court hearing the case shall promptly file with the department a certificate showing that the case has been adjudicated. For the purposes of this section, "moving violation" is defined by rule pursuant to RCW 46.20.2891.</w:t>
      </w:r>
    </w:p>
    <w:p/>
    <w:p>
      <w:pPr>
        <w:jc w:val="center"/>
      </w:pPr>
      <w:r>
        <w:rPr>
          <w:b/>
        </w:rPr>
        <w:t>--- END ---</w:t>
      </w:r>
    </w:p>
    <w:sectPr>
      <w:pgNumType w:start="1"/>
      <w:footerReference xmlns:r="http://schemas.openxmlformats.org/officeDocument/2006/relationships" r:id="R779b3a5023d840c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1614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1ab0039c354866" /><Relationship Type="http://schemas.openxmlformats.org/officeDocument/2006/relationships/footer" Target="/word/footer.xml" Id="R779b3a5023d840c8" /></Relationships>
</file>