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4d09c0c4b44060" /></Relationships>
</file>

<file path=word/document.xml><?xml version="1.0" encoding="utf-8"?>
<w:document xmlns:w="http://schemas.openxmlformats.org/wordprocessingml/2006/main">
  <w:body>
    <w:p>
      <w:r>
        <w:t>H-1080.1</w:t>
      </w:r>
    </w:p>
    <w:p>
      <w:pPr>
        <w:jc w:val="center"/>
      </w:pPr>
      <w:r>
        <w:t>_______________________________________________</w:t>
      </w:r>
    </w:p>
    <w:p/>
    <w:p>
      <w:pPr>
        <w:jc w:val="center"/>
      </w:pPr>
      <w:r>
        <w:rPr>
          <w:b/>
        </w:rPr>
        <w:t>HOUSE BILL 1614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Goodman, Klippert, Orwall, Hayes, Pellicciotti, Holy, Griffey, Pettigrew, Muri, and Haler</w:t>
      </w:r>
    </w:p>
    <w:p/>
    <w:p>
      <w:r>
        <w:rPr>
          <w:t xml:space="preserve">Read first time 01/25/17.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46.20.385, 46.20.720, 46.61.504, 46.61.506, 46.61.517, and 46.64.025; and reenacting and amending RCW 9.96.060 and 10.31.100.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w:t>
      </w:r>
      <w:r>
        <w:rPr>
          <w:u w:val="single"/>
        </w:rPr>
        <w:t xml:space="preserve">or less than ten years has elapsed since the date of the arrest for the prior offense</w:t>
      </w:r>
      <w:r>
        <w:rPr/>
        <w:t xml:space="preserv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2016 c 203 s 9 and 2016 c 113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(12)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 police officer shall, at the request of a parent or guardian, arrest the sixteen or seventeen year old child of that parent or guardian if the officer has probable cause to believe that the child has assaulted a family or household member as defined in RCW 10.99.020 in the preceding four hours. Nothing in this subsection removes a police officer's existing authority provided in this section to make an arrest.</w:t>
      </w:r>
    </w:p>
    <w:p>
      <w:pPr>
        <w:spacing w:before="0" w:after="0" w:line="408" w:lineRule="exact"/>
        <w:ind w:left="0" w:right="0" w:firstLine="576"/>
        <w:jc w:val="left"/>
      </w:pPr>
      <w:r>
        <w:rPr/>
        <w:t xml:space="preserve">(4)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(5)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(6)(a)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(7)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(8)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(9)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(10)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(11)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(12)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(13)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(14)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(15) Except as specifically provided in subsections (2), (4), (5), and (8) of this section, nothing in this section extends or otherwise affects the powers of arrest prescribed in Title 46 RCW.</w:t>
      </w:r>
    </w:p>
    <w:p>
      <w:pPr>
        <w:spacing w:before="0" w:after="0" w:line="408" w:lineRule="exact"/>
        <w:ind w:left="0" w:right="0" w:firstLine="576"/>
        <w:jc w:val="left"/>
      </w:pPr>
      <w:r>
        <w:rPr/>
        <w:t xml:space="preserve">(16) No police officer may be held criminally or civilly liable for making an arrest pursuant to subsection (2) or (10) of this section if the police officer acts in good faith and without malice.</w:t>
      </w:r>
    </w:p>
    <w:p>
      <w:pPr>
        <w:spacing w:before="0" w:after="0" w:line="408" w:lineRule="exact"/>
        <w:ind w:left="0" w:right="0" w:firstLine="576"/>
        <w:jc w:val="left"/>
      </w:pPr>
      <w:r>
        <w:rPr/>
        <w:t xml:space="preserve">(17)(a)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w:t>
      </w:r>
      <w:r>
        <w:rPr>
          <w:u w:val="single"/>
        </w:rPr>
        <w:t xml:space="preserve">: (i) H</w:t>
      </w:r>
      <w:r>
        <w:rPr/>
        <w:t xml:space="preserve">as a prior offense as defined in RCW 46.61.5055 within ten years</w:t>
      </w:r>
      <w:r>
        <w:rPr>
          <w:u w:val="single"/>
        </w:rPr>
        <w:t xml:space="preserve">; or (ii) is charged with or is awaiting arraignment for an offense that would qualify as a prior offense as defined in RCW 46.61.5055 if it were a conviction</w:t>
      </w:r>
      <w:r>
        <w:rPr/>
        <w:t xml:space="preserve">.</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0" w:after="0" w:line="408" w:lineRule="exact"/>
        <w:ind w:left="0" w:right="0" w:firstLine="576"/>
        <w:jc w:val="left"/>
      </w:pPr>
      <w:r>
        <w:rPr/>
        <w:t xml:space="preserve">(18) A juvenile detention facility shall book into detention any person under age eighteen brought to that detention facility pursuant to an arrest for assaulting a family or household member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2016 c 203 s 13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w:t>
      </w:r>
      <w:r>
        <w:rPr>
          <w:u w:val="single"/>
        </w:rPr>
        <w:t xml:space="preserve">: (i) T</w:t>
      </w:r>
      <w:r>
        <w:rPr/>
        <w:t xml:space="preserve">he cost of installing, removing, and leasing the ignition interlock device</w:t>
      </w:r>
      <w:r>
        <w:rPr>
          <w:u w:val="single"/>
        </w:rPr>
        <w:t xml:space="preserve">, which shall be paid directly to the ignition interlock company;</w:t>
      </w:r>
      <w:r>
        <w:rPr/>
        <w:t xml:space="preserve"> and </w:t>
      </w:r>
      <w:r>
        <w:t>((</w:t>
      </w:r>
      <w:r>
        <w:rPr>
          <w:strike/>
        </w:rPr>
        <w:t xml:space="preserve">shall pay</w:t>
      </w:r>
      <w:r>
        <w:t>))</w:t>
      </w:r>
      <w:r>
        <w:rPr/>
        <w:t xml:space="preserve"> </w:t>
      </w:r>
      <w:r>
        <w:rPr>
          <w:u w:val="single"/>
        </w:rPr>
        <w:t xml:space="preserve">(ii)</w:t>
      </w:r>
      <w:r>
        <w:rPr/>
        <w:t xml:space="preserve"> an additional fee of twenty dollars per month</w:t>
      </w:r>
      <w:r>
        <w:rPr>
          <w:u w:val="single"/>
        </w:rPr>
        <w:t xml:space="preserve">, which shall be paid directly to the department</w:t>
      </w:r>
      <w:r>
        <w:rPr/>
        <w:t xml:space="preserve">. </w:t>
      </w:r>
      <w:r>
        <w:t>((</w:t>
      </w:r>
      <w:r>
        <w:rPr>
          <w:strike/>
        </w:rPr>
        <w:t xml:space="preserve">Payments shall be made directly to the ignition interlock company. The company shall remit the additional twenty dollar fee to the department.</w:t>
      </w:r>
      <w:r>
        <w:t>))</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2016 c 203 s 14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Subsection (1)(e) of this section shall remain in effect for the period of time specified by the court.</w:t>
      </w:r>
    </w:p>
    <w:p>
      <w:pPr>
        <w:spacing w:before="0" w:after="0" w:line="408" w:lineRule="exact"/>
        <w:ind w:left="0" w:right="0" w:firstLine="576"/>
        <w:jc w:val="left"/>
      </w:pPr>
      <w:r>
        <w:rPr/>
        <w:t xml:space="preserve">The period of restriction under (c) and (d) of this subsection based on incidents occurring on or after June 9, 2016, must be tolled for any period in which the person does not have an ignition interlock device installed on a vehicle owned or operated by the person.</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w:t>
      </w:r>
      <w:r>
        <w:t>((</w:t>
      </w:r>
      <w:r>
        <w:rPr>
          <w:strike/>
        </w:rPr>
        <w:t xml:space="preserve">four</w:t>
      </w:r>
      <w:r>
        <w:t>))</w:t>
      </w:r>
      <w:r>
        <w:rPr/>
        <w:t xml:space="preserve"> </w:t>
      </w:r>
      <w:r>
        <w:rPr>
          <w:u w:val="single"/>
        </w:rPr>
        <w:t xml:space="preserve">one hundred eighty</w:t>
      </w:r>
      <w:r>
        <w:rPr/>
        <w:t xml:space="preserve"> consecutive </w:t>
      </w:r>
      <w:r>
        <w:t>((</w:t>
      </w:r>
      <w:r>
        <w:rPr>
          <w:strike/>
        </w:rPr>
        <w:t xml:space="preserve">months</w:t>
      </w:r>
      <w:r>
        <w:t>))</w:t>
      </w:r>
      <w:r>
        <w:rPr/>
        <w:t xml:space="preserve"> </w:t>
      </w:r>
      <w:r>
        <w:rPr>
          <w:u w:val="single"/>
        </w:rPr>
        <w:t xml:space="preserve">days</w:t>
      </w:r>
      <w:r>
        <w:rPr/>
        <w:t xml:space="preserve">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w:t>
      </w:r>
      <w:r>
        <w:rPr>
          <w:u w:val="single"/>
        </w:rPr>
        <w:t xml:space="preserve">for the additional twenty dollar monthly fee</w:t>
      </w:r>
      <w:r>
        <w:rPr/>
        <w:t xml:space="preserve"> must be made directly to the </w:t>
      </w:r>
      <w:r>
        <w:t>((</w:t>
      </w:r>
      <w:r>
        <w:rPr>
          <w:strike/>
        </w:rPr>
        <w:t xml:space="preserve">ignition interlock company. The company shall remit the additional twenty dollar fee to the</w:t>
      </w:r>
      <w:r>
        <w:t>))</w:t>
      </w:r>
      <w:r>
        <w:rPr/>
        <w:t xml:space="preserve"> department to be deposited into the ignition interlock device revolving account.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2015 2nd sp.s. c 3 s 24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w:t>
      </w:r>
      <w:r>
        <w:t>((</w:t>
      </w:r>
      <w:r>
        <w:rPr>
          <w:strike/>
        </w:rPr>
        <w:t xml:space="preserve">and it is an affirmative defense</w:t>
      </w:r>
      <w:r>
        <w:t>))</w:t>
      </w:r>
      <w:r>
        <w:rPr/>
        <w:t xml:space="preserve"> </w:t>
      </w:r>
      <w:r>
        <w:rPr>
          <w:u w:val="single"/>
        </w:rPr>
        <w:t xml:space="preserve">or subject</w:t>
      </w:r>
      <w:r>
        <w:rPr/>
        <w:t xml:space="preserve"> to any action pursuant to RCW 46.20.308 to suspend, revoke, or deny the privilege to drive if, prior to being pursued by a law enforcement officer, the person has moved the vehicle safely off the roadway. </w:t>
      </w:r>
      <w:r>
        <w:rPr>
          <w:u w:val="single"/>
        </w:rPr>
        <w:t xml:space="preserve">A vehicle is safely off the roadway if:</w:t>
      </w:r>
    </w:p>
    <w:p>
      <w:pPr>
        <w:spacing w:before="0" w:after="0" w:line="408" w:lineRule="exact"/>
        <w:ind w:left="0" w:right="0" w:firstLine="576"/>
        <w:jc w:val="left"/>
      </w:pPr>
      <w:r>
        <w:rPr>
          <w:u w:val="single"/>
        </w:rPr>
        <w:t xml:space="preserve">(a) The driver is removed from the driver's seat;</w:t>
      </w:r>
    </w:p>
    <w:p>
      <w:pPr>
        <w:spacing w:before="0" w:after="0" w:line="408" w:lineRule="exact"/>
        <w:ind w:left="0" w:right="0" w:firstLine="576"/>
        <w:jc w:val="left"/>
      </w:pPr>
      <w:r>
        <w:rPr>
          <w:u w:val="single"/>
        </w:rPr>
        <w:t xml:space="preserve">(b) The vehicle is parked in an area that is not a sidewalk, bike path, or driving lane;</w:t>
      </w:r>
    </w:p>
    <w:p>
      <w:pPr>
        <w:spacing w:before="0" w:after="0" w:line="408" w:lineRule="exact"/>
        <w:ind w:left="0" w:right="0" w:firstLine="576"/>
        <w:jc w:val="left"/>
      </w:pPr>
      <w:r>
        <w:rPr>
          <w:u w:val="single"/>
        </w:rPr>
        <w:t xml:space="preserve">(c) The vehicle's engine is off; and</w:t>
      </w:r>
    </w:p>
    <w:p>
      <w:pPr>
        <w:spacing w:before="0" w:after="0" w:line="408" w:lineRule="exact"/>
        <w:ind w:left="0" w:right="0" w:firstLine="576"/>
        <w:jc w:val="left"/>
      </w:pPr>
      <w:r>
        <w:rPr>
          <w:u w:val="single"/>
        </w:rPr>
        <w:t xml:space="preserve">(d) The vehicle's transmission is in park, if a car, or in gear, if a motorcycle or manual vehicle.</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four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2016 c 203 s 8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w:t>
      </w:r>
      <w:r>
        <w:rPr>
          <w:u w:val="single"/>
        </w:rPr>
        <w:t xml:space="preserve">or piercings</w:t>
      </w:r>
      <w:r>
        <w:rPr/>
        <w:t xml:space="preserve">,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alcoholic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w:t>
      </w:r>
      <w:r>
        <w:rPr>
          <w:u w:val="single"/>
        </w:rPr>
        <w:t xml:space="preserve">a physician's trained advanced emergency medical technician and paramedic certified under chapter 18.71 RCW;</w:t>
      </w:r>
      <w:r>
        <w:rPr/>
        <w:t xml:space="preserve"> an advanced emergency medical technician or paramedic licensed under chapter 18.73 RCW; until July 1, 2016, a health care assistant certified under chapter 18.135 RCW; or a medical assistant-certified or medical assistant-phlebotomist certified under chapter 18.360 RCW. Proof of qualification to draw blood may be established through the department of health's provider credential search. </w:t>
      </w:r>
      <w:r>
        <w:t>((</w:t>
      </w:r>
      <w:r>
        <w:rPr>
          <w:strike/>
        </w:rPr>
        <w:t xml:space="preserve">This</w:t>
      </w:r>
      <w:r>
        <w:t>))</w:t>
      </w:r>
      <w:r>
        <w:rPr/>
        <w:t xml:space="preserve"> </w:t>
      </w:r>
      <w:r>
        <w:rPr>
          <w:u w:val="single"/>
        </w:rPr>
        <w:t xml:space="preserve">When withdrawal of blood for the purpose of determining its alcoholic or drug content is performed outside Washington state, the withdrawal may be performed by any qualified person. These</w:t>
      </w:r>
      <w:r>
        <w:rPr/>
        <w:t xml:space="preserve"> limitation</w:t>
      </w:r>
      <w:r>
        <w:rPr>
          <w:u w:val="single"/>
        </w:rPr>
        <w:t xml:space="preserve">s</w:t>
      </w:r>
      <w:r>
        <w:rPr/>
        <w:t xml:space="preserve"> shall not apply to the taking of breath specimens.</w:t>
      </w:r>
    </w:p>
    <w:p>
      <w:pPr>
        <w:spacing w:before="0" w:after="0" w:line="408" w:lineRule="exact"/>
        <w:ind w:left="0" w:right="0" w:firstLine="576"/>
        <w:jc w:val="left"/>
      </w:pPr>
      <w:r>
        <w:rPr/>
        <w:t xml:space="preserve">(6)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(7)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517</w:t>
      </w:r>
      <w:r>
        <w:rPr/>
        <w:t xml:space="preserve"> and 2001 c 142 s 1 are each amended to read as follows:</w:t>
      </w:r>
    </w:p>
    <w:p>
      <w:pPr>
        <w:spacing w:before="0" w:after="0" w:line="408" w:lineRule="exact"/>
        <w:ind w:left="0" w:right="0" w:firstLine="576"/>
        <w:jc w:val="left"/>
      </w:pPr>
      <w:r>
        <w:rPr/>
        <w:t xml:space="preserve">The refusal of a person to submit to a test of the alcohol or drug concentration in the person's </w:t>
      </w:r>
      <w:r>
        <w:t>((</w:t>
      </w:r>
      <w:r>
        <w:rPr>
          <w:strike/>
        </w:rPr>
        <w:t xml:space="preserve">blood or</w:t>
      </w:r>
      <w:r>
        <w:t>))</w:t>
      </w:r>
      <w:r>
        <w:rPr/>
        <w:t xml:space="preserve"> breath under RCW 46.20.308 is admissible into evidence at a subsequent criminal trial. </w:t>
      </w:r>
      <w:r>
        <w:rPr>
          <w:u w:val="single"/>
        </w:rPr>
        <w:t xml:space="preserve">The refusal of a person to submit to a test of the person's blood is admissible into evidence at a subsequent criminal trial when a search warrant, or an exception to the search warrant, authorized the seizure.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2016 c 203 s 4 are each amended to read as follows:</w:t>
      </w:r>
    </w:p>
    <w:p>
      <w:pPr>
        <w:spacing w:before="0" w:after="0" w:line="408" w:lineRule="exact"/>
        <w:ind w:left="0" w:right="0" w:firstLine="576"/>
        <w:jc w:val="left"/>
      </w:pPr>
      <w:r>
        <w:rPr/>
        <w:t xml:space="preserve">Whenever any person served with a traffic citation or </w:t>
      </w:r>
      <w:r>
        <w:rPr>
          <w:u w:val="single"/>
        </w:rPr>
        <w:t xml:space="preserve">provided notice of</w:t>
      </w:r>
      <w:r>
        <w:rPr/>
        <w:t xml:space="preserve"> a traffic-related criminal complaint willfully fails to appear at a requested hearing for a moving violation or fails to comply with the terms of a notice of traffic citation for a moving violation or a traffic-related criminal complaint, the court in which the defendant failed to appear shall promptly give notice of such fact to the department of licensing. Whenever thereafter the case in which the defendant failed to appear is adjudicated, the court hearing the case shall promptly file with the department a certificate showing that the case has been adjudicated. For the purposes of this section, "moving violation" is defined by rule pursuant to RCW 46.20.2891.</w:t>
      </w:r>
    </w:p>
    <w:p/>
    <w:p>
      <w:pPr>
        <w:jc w:val="center"/>
      </w:pPr>
      <w:r>
        <w:rPr>
          <w:b/>
        </w:rPr>
        <w:t>--- END ---</w:t>
      </w:r>
    </w:p>
    <w:sectPr>
      <w:pgNumType w:start="1"/>
      <w:footerReference xmlns:r="http://schemas.openxmlformats.org/officeDocument/2006/relationships" r:id="R6e98a5f379d943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d87e4510d84d4b" /><Relationship Type="http://schemas.openxmlformats.org/officeDocument/2006/relationships/footer" Target="/word/footer.xml" Id="R6e98a5f379d943cb" /></Relationships>
</file>