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c6b69bebd94dda" /></Relationships>
</file>

<file path=word/document.xml><?xml version="1.0" encoding="utf-8"?>
<w:document xmlns:w="http://schemas.openxmlformats.org/wordprocessingml/2006/main">
  <w:body>
    <w:p>
      <w:r>
        <w:t>H-1965.1</w:t>
      </w:r>
    </w:p>
    <w:p>
      <w:pPr>
        <w:jc w:val="center"/>
      </w:pPr>
      <w:r>
        <w:t>_______________________________________________</w:t>
      </w:r>
    </w:p>
    <w:p/>
    <w:p>
      <w:pPr>
        <w:jc w:val="center"/>
      </w:pPr>
      <w:r>
        <w:rPr>
          <w:b/>
        </w:rPr>
        <w:t>SUBSTITUTE HOUSE BILL 1617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Ortiz-Self, Farrell, and Riccelli)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volunteer guardian ad litem program requirements; amending RCW 13.34.102; and reenacting and amending RCW 13.34.030.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(24) "Volunteer guardian ad litem coordinator" means an employee of a guardian ad litem program who has the responsibility to train, monitor, coach, supervise, and review reports for volunteer guardians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102</w:t>
      </w:r>
      <w:r>
        <w:rPr/>
        <w:t xml:space="preserve"> and 2005 c 282 s 26 are each amended to read as follows:</w:t>
      </w:r>
    </w:p>
    <w:p>
      <w:pPr>
        <w:spacing w:before="0" w:after="0" w:line="408" w:lineRule="exact"/>
        <w:ind w:left="0" w:right="0" w:firstLine="576"/>
        <w:jc w:val="left"/>
      </w:pPr>
      <w:r>
        <w:rPr/>
        <w:t xml:space="preserve">(1) All guardians ad litem must comply with the training requirements established under RCW 2.56.030(15), prior to their appointment in cases under Title 13 RCW, except that volunteer guardians ad litem or court-appointed special advocates may comply with alternative training requirements approved by the administrative office of the courts that meet or exceed the statewide requirements.</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If a judicial district does not have a program the court shall establish the rotational registry system. Guardians ad litem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as specified in RCW 13.34.100(3),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lacks the necessary expertise for the proceeding,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pPr>
        <w:spacing w:before="0" w:after="0" w:line="408" w:lineRule="exact"/>
        <w:ind w:left="0" w:right="0" w:firstLine="576"/>
        <w:jc w:val="left"/>
      </w:pPr>
      <w:r>
        <w:rPr/>
        <w:t xml:space="preserve">(d) The superior court shall remove any person from the guardian ad litem registry who misrepresents his or her qualifications pursuant to a grievance procedure established by the court.</w:t>
      </w:r>
    </w:p>
    <w:p>
      <w:pPr>
        <w:spacing w:before="0" w:after="0" w:line="408" w:lineRule="exact"/>
        <w:ind w:left="0" w:right="0" w:firstLine="576"/>
        <w:jc w:val="left"/>
      </w:pPr>
      <w:r>
        <w:rPr/>
        <w:t xml:space="preserve">(3) The rotational registry system shall not apply to court-appointed special advocate programs.</w:t>
      </w:r>
    </w:p>
    <w:p>
      <w:pPr>
        <w:spacing w:before="0" w:after="0" w:line="408" w:lineRule="exact"/>
        <w:ind w:left="0" w:right="0" w:firstLine="576"/>
        <w:jc w:val="left"/>
      </w:pPr>
      <w:r>
        <w:rPr>
          <w:u w:val="single"/>
        </w:rPr>
        <w:t xml:space="preserve">(4) Every guardian ad litem program with volunteer guardian ad litem coordinators shall ensure that those volunteer guardian ad litem coordinators supervise no more than thirty volunteer guardians ad litem, subject to funds appropriated for this specific purpose.</w:t>
      </w:r>
    </w:p>
    <w:p>
      <w:pPr>
        <w:spacing w:before="0" w:after="0" w:line="408" w:lineRule="exact"/>
        <w:ind w:left="0" w:right="0" w:firstLine="576"/>
        <w:jc w:val="left"/>
      </w:pPr>
      <w:r>
        <w:rPr>
          <w:u w:val="single"/>
        </w:rPr>
        <w:t xml:space="preserve">(5) In addition to existing training requirements, guardian ad litem programs must provide additional training to any volunteer guardian ad litem coordinators to include the appropriate screening of volunteer guardian ad litem reports before those reports are submitted to the court to ensure that those reports are based on information that is within the expertise of the volunteer guardian ad litem.</w:t>
      </w:r>
    </w:p>
    <w:p/>
    <w:p>
      <w:pPr>
        <w:jc w:val="center"/>
      </w:pPr>
      <w:r>
        <w:rPr>
          <w:b/>
        </w:rPr>
        <w:t>--- END ---</w:t>
      </w:r>
    </w:p>
    <w:sectPr>
      <w:pgNumType w:start="1"/>
      <w:footerReference xmlns:r="http://schemas.openxmlformats.org/officeDocument/2006/relationships" r:id="R5c4079ea96904a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764469f38f4d7f" /><Relationship Type="http://schemas.openxmlformats.org/officeDocument/2006/relationships/footer" Target="/word/footer.xml" Id="R5c4079ea96904a1f" /></Relationships>
</file>