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354e9502649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Kagi, and Kilduff)</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and 74.09.520; adding a new section to chapter 74.09 RCW; adding a new section to chapter 43.215 RCW; adding a new section to chapter 28A.630 RCW; adding new sections to chapter 71.24 RCW; adding a new section to chapter 28B.30 RCW; creating a new section;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 The legislature further intends to encourage providers to use behavioral health therapies and other therapies that are empirically supported or evidence-based and only prescribe medications for children and youth as a last resort.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the languages spoken by those providers,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u w:val="single"/>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child care consultation program linking child care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rPr/>
        <w:t xml:space="preserve">(2) In establishing and operating the program, the department or contracted entity shall: (a) Assist child care providers in recognizing the signs and symptoms of trauma in children; (b) provide support and guidance to child care staff; (c) consult and coordinate with parents, other caregivers, and experts or practitioners involved with the care and well-being of the young children; and (d) provide referrals for children who need additional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and</w:t>
      </w:r>
    </w:p>
    <w:p>
      <w:pPr>
        <w:spacing w:before="0" w:after="0" w:line="408" w:lineRule="exact"/>
        <w:ind w:left="0" w:right="0" w:firstLine="576"/>
        <w:jc w:val="left"/>
      </w:pPr>
      <w:r>
        <w:rPr/>
        <w:t xml:space="preserve">(f) Collaborating with the other selected project and with the office of the superintendent of public instruction.</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in consultation with the health care authority,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2018, but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feb0b014deaf41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27f76a2ea54b63" /><Relationship Type="http://schemas.openxmlformats.org/officeDocument/2006/relationships/footer" Target="/word/footer.xml" Id="Rfeb0b014deaf41e5" /></Relationships>
</file>