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5dd3a69a0d49e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Lovick, Dent, Kagi, Senn, and Frame; by request of Department of Early Learning)</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certain department of early learning advising and contracting mechanisms to reflect federal requirements, legislative mandates, and planned system improvements; and amending RCW 43.215.090 and 43.215.130.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w:t>
      </w:r>
      <w:r>
        <w:rPr>
          <w:u w:val="single"/>
        </w:rPr>
        <w:t xml:space="preserve">young</w:t>
      </w:r>
      <w:r>
        <w:rPr/>
        <w:t xml:space="preserve">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u w:val="single"/>
        </w:rPr>
        <w:t xml:space="preserve">(g) One representative from the developmental disabilities community;</w:t>
      </w:r>
    </w:p>
    <w:p>
      <w:pPr>
        <w:spacing w:before="0" w:after="0" w:line="408" w:lineRule="exact"/>
        <w:ind w:left="0" w:right="0" w:firstLine="576"/>
        <w:jc w:val="left"/>
      </w:pPr>
      <w:r>
        <w:rPr>
          <w:u w:val="single"/>
        </w:rPr>
        <w:t xml:space="preserve">(h) Two representatives from early learning regional coalitions;</w:t>
      </w:r>
    </w:p>
    <w:p>
      <w:pPr>
        <w:spacing w:before="0" w:after="0" w:line="408" w:lineRule="exact"/>
        <w:ind w:left="0" w:right="0" w:firstLine="576"/>
        <w:jc w:val="left"/>
      </w:pPr>
      <w:r>
        <w:rPr>
          <w:u w:val="single"/>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t>((</w:t>
      </w:r>
      <w:r>
        <w:rPr>
          <w:strike/>
        </w:rPr>
        <w:t xml:space="preserve">(g) One</w:t>
      </w:r>
      <w:r>
        <w:t>))</w:t>
      </w:r>
      <w:r>
        <w:rPr/>
        <w:t xml:space="preserve"> </w:t>
      </w:r>
      <w:r>
        <w:rPr>
          <w:u w:val="single"/>
        </w:rPr>
        <w:t xml:space="preserve">(j) 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(k)</w:t>
      </w:r>
      <w:r>
        <w:rPr/>
        <w:t xml:space="preserve"> One representative from the Washington federation of independent schools</w:t>
      </w:r>
      <w:r>
        <w:rPr>
          <w:u w:val="single"/>
        </w:rPr>
        <w:t xml:space="preserve">; and</w:t>
      </w:r>
    </w:p>
    <w:p>
      <w:pPr>
        <w:spacing w:before="0" w:after="0" w:line="408" w:lineRule="exact"/>
        <w:ind w:left="0" w:right="0" w:firstLine="576"/>
        <w:jc w:val="left"/>
      </w:pPr>
      <w:r>
        <w:rPr>
          <w:u w:val="single"/>
        </w:rPr>
        <w:t xml:space="preserve">(l) One representative from the Washington library association</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w:t>
      </w:r>
      <w:r>
        <w:t>((</w:t>
      </w:r>
      <w:r>
        <w:rPr>
          <w:strike/>
        </w:rPr>
        <w:t xml:space="preserve">at fifty percent</w:t>
      </w:r>
      <w:r>
        <w:t>))</w:t>
      </w:r>
      <w:r>
        <w:rPr/>
        <w:t xml:space="preserve"> by the private-public partnership each fiscal year. </w:t>
      </w:r>
      <w:r>
        <w:t>((</w:t>
      </w:r>
      <w:r>
        <w:rPr>
          <w:strike/>
        </w:rPr>
        <w:t xml:space="preserve">However, state funds in the account may be accessed in the event that the private-public partnership fails to meet the fifty percent match target. Should the private-public partnership not meet the fifty percent match target by the conclusion of the fiscal year ending on June 30th, the department and the private-public partnership,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r>
        <w:t>))</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w:t>
      </w:r>
      <w:r>
        <w:t>((</w:t>
      </w:r>
      <w:r>
        <w:rPr>
          <w:strike/>
        </w:rPr>
        <w:t xml:space="preserve">sufficient</w:t>
      </w:r>
      <w:r>
        <w:t>))</w:t>
      </w:r>
      <w:r>
        <w:rPr/>
        <w:t xml:space="preserv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w:t>
      </w:r>
      <w:r>
        <w:t>((</w:t>
      </w:r>
      <w:r>
        <w:rPr>
          <w:strike/>
        </w:rPr>
        <w:t xml:space="preserve">use</w:t>
      </w:r>
      <w:r>
        <w:t>))</w:t>
      </w:r>
      <w:r>
        <w:rPr/>
        <w:t xml:space="preserve"> </w:t>
      </w:r>
      <w:r>
        <w:rPr>
          <w:u w:val="single"/>
        </w:rPr>
        <w:t xml:space="preserve">uses and</w:t>
      </w:r>
      <w:r>
        <w:rPr/>
        <w:t xml:space="preserv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
      <w:pPr>
        <w:jc w:val="center"/>
      </w:pPr>
      <w:r>
        <w:rPr>
          <w:b/>
        </w:rPr>
        <w:t>--- END ---</w:t>
      </w:r>
    </w:p>
    <w:sectPr>
      <w:pgNumType w:start="1"/>
      <w:footerReference xmlns:r="http://schemas.openxmlformats.org/officeDocument/2006/relationships" r:id="R003c7687064542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7ca6f13b9c4ce4" /><Relationship Type="http://schemas.openxmlformats.org/officeDocument/2006/relationships/footer" Target="/word/footer.xml" Id="R003c7687064542bd" /></Relationships>
</file>