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492f738d048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Smith, Caldier, Jinkins, Fey, Kloba, Ortiz-Self, Stanford, and Frame</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10.27.170;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The legislature finds that in investigations of child exploitation, the use of a special inquiry judge is the appropriate process for obtaining subpoenas for the production of records from electronic communications providers under a less than probable cause standard while maintaining judicial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criminal investigation of an offense involving the sexual exploitation of children under chapter 9.68A RCW, the prosecuting attorney shall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 including, but not limited to, records or information that provide the following subscriber or customer information: (a) Name and address; (b) local and long distance telephone connection records, or records of session times and durations; (c) length of service and types of service utilized; (d) telephone or instrument number or other subscriber number or identity, including any temporarily assigned network address; and (e) means and source of payment for such service, including any credit card or bank account number.</w:t>
      </w:r>
    </w:p>
    <w:p>
      <w:pPr>
        <w:spacing w:before="0" w:after="0" w:line="408" w:lineRule="exact"/>
        <w:ind w:left="0" w:right="0" w:firstLine="576"/>
        <w:jc w:val="left"/>
      </w:pPr>
      <w:r>
        <w:rPr/>
        <w:t xml:space="preserve">(2) A provider who receives a subpoena for records as provided under subsection (1) of this section may not disclose the existence of the subpoena to the subscribers or customers whose records or information are requested or released under the subpoena.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(b) "Provider" means a provider of electronic communication
services or remote computing services.</w:t>
      </w:r>
    </w:p>
    <w:p>
      <w:pPr>
        <w:spacing w:before="0" w:after="0" w:line="408" w:lineRule="exact"/>
        <w:ind w:left="0" w:right="0" w:firstLine="576"/>
        <w:jc w:val="left"/>
      </w:pPr>
      <w:r>
        <w:rPr/>
        <w:t xml:space="preserve">(c)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170</w:t>
      </w:r>
      <w:r>
        <w:rPr/>
        <w:t xml:space="preserve"> and 1971 ex.s. c 67 s 17 are each amended to read as follows:</w:t>
      </w:r>
    </w:p>
    <w:p>
      <w:pPr>
        <w:spacing w:before="0" w:after="0" w:line="408" w:lineRule="exact"/>
        <w:ind w:left="0" w:right="0" w:firstLine="576"/>
        <w:jc w:val="left"/>
      </w:pPr>
      <w:r>
        <w:rPr>
          <w:u w:val="single"/>
        </w:rPr>
        <w:t xml:space="preserve">(1)</w:t>
      </w:r>
      <w:r>
        <w:rPr/>
        <w:t xml:space="preserve"> When any public attorney, corporation counsel or city attorney has reason to suspect crime or corruption, within the jurisdiction of such attorney, and there is reason to believe that there are persons who may be able to give material testimony or provide material evidence concerning such suspected crime or corruption, such attorney may petition the judge designated as a special inquiry judge pursuant to RCW 10.27.050 for an order directed to such persons commanding them to appear at a designated time and place in said county and to then and there answer such questions concerning the suspected crime or corruption as the special inquiry judge may approve, or provide evidence as directed by the special inquiry judge.</w:t>
      </w:r>
    </w:p>
    <w:p>
      <w:pPr>
        <w:spacing w:before="0" w:after="0" w:line="408" w:lineRule="exact"/>
        <w:ind w:left="0" w:right="0" w:firstLine="576"/>
        <w:jc w:val="left"/>
      </w:pPr>
      <w:r>
        <w:rPr>
          <w:u w:val="single"/>
        </w:rPr>
        <w:t xml:space="preserve">(2) Upon petition of a prosecuting attorney for the establishment of a special inquiry judge proceeding in an investigation of sexual exploitation of children under section 2 of this act, the court shall establish the special inquiry judge proceeding, if appropriate, as soon as practicable but no later than seventy-two hours after the filing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d0fd6212136e47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980c49a304b2a" /><Relationship Type="http://schemas.openxmlformats.org/officeDocument/2006/relationships/footer" Target="/word/footer.xml" Id="Rd0fd6212136e47dd" /></Relationships>
</file>