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ec81a941b4e63" /></Relationships>
</file>

<file path=word/document.xml><?xml version="1.0" encoding="utf-8"?>
<w:document xmlns:w="http://schemas.openxmlformats.org/wordprocessingml/2006/main">
  <w:body>
    <w:p>
      <w:r>
        <w:t>H-0781.1</w:t>
      </w:r>
    </w:p>
    <w:p>
      <w:pPr>
        <w:jc w:val="center"/>
      </w:pPr>
      <w:r>
        <w:t>_______________________________________________</w:t>
      </w:r>
    </w:p>
    <w:p/>
    <w:p>
      <w:pPr>
        <w:jc w:val="center"/>
      </w:pPr>
      <w:r>
        <w:rPr>
          <w:b/>
        </w:rPr>
        <w:t>HOUSE BILL 1739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Goodman, Peterson, Orwall, Kilduff, Harris, Ryu, Ortiz-Self, Lovick, Sells, Stonier, Clibborn, Dolan, Sawyer, Stanford, and Jinkins</w:t>
      </w:r>
    </w:p>
    <w:p/>
    <w:p>
      <w:r>
        <w:rPr>
          <w:t xml:space="preserve">Read first time 01/27/17.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victims' compensation program; amending RCW 7.68.020, 7.68.030, and 7.68.070; and reenacting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2011 c 346 s 101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physical, mental, or sensory handicap.</w:t>
      </w:r>
    </w:p>
    <w:p>
      <w:pPr>
        <w:spacing w:before="0" w:after="0" w:line="408" w:lineRule="exact"/>
        <w:ind w:left="0" w:right="0" w:firstLine="576"/>
        <w:jc w:val="left"/>
      </w:pPr>
      <w:r>
        <w:rPr/>
        <w:t xml:space="preserve">(5)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w:t>
      </w:r>
      <w:r>
        <w:t>((</w:t>
      </w:r>
      <w:r>
        <w:rPr>
          <w:strike/>
        </w:rPr>
        <w:t xml:space="preserve">a preponderance of the evidence establishes</w:t>
      </w:r>
      <w:r>
        <w:t>))</w:t>
      </w:r>
      <w:r>
        <w:rPr/>
        <w:t xml:space="preserve"> </w:t>
      </w:r>
      <w:r>
        <w:rPr>
          <w:u w:val="single"/>
        </w:rPr>
        <w:t xml:space="preserve">one of the following applies: (I) The victim submits a letter from the prosecutor of the county in which the crime occurred or his or her designee certifying there is probable cause to believe</w:t>
      </w:r>
      <w:r>
        <w:rPr/>
        <w:t xml:space="preserve"> that the death was the result of vehicular homicide under RCW 46.61.520</w:t>
      </w:r>
      <w:r>
        <w:t>((</w:t>
      </w:r>
      <w:r>
        <w:rPr>
          <w:strike/>
        </w:rPr>
        <w:t xml:space="preserve">,</w:t>
      </w:r>
      <w:r>
        <w:t>))</w:t>
      </w:r>
      <w:r>
        <w:rPr>
          <w:u w:val="single"/>
        </w:rPr>
        <w:t xml:space="preserve">; (II) a conviction of vehicular homicide under RCW 46.61.520 has been obtained; (III) the victim submits a letter from the prosecutor of the county in which the crime occurred or his or her designee certifying there is probable cause to believe that the injury was a result of vehicular assault under RCW 46.61.522;</w:t>
      </w:r>
      <w:r>
        <w:rPr/>
        <w:t xml:space="preserve"> or </w:t>
      </w:r>
      <w:r>
        <w:rPr>
          <w:u w:val="single"/>
        </w:rPr>
        <w:t xml:space="preserve">(IV)</w:t>
      </w:r>
      <w:r>
        <w:rPr/>
        <w:t xml:space="preserve"> a conviction of vehicular assault under RCW 46.61.522</w:t>
      </w:r>
      <w:r>
        <w:t>((</w:t>
      </w:r>
      <w:r>
        <w:rPr>
          <w:strike/>
        </w:rPr>
        <w:t xml:space="preserve">,</w:t>
      </w:r>
      <w:r>
        <w:t>))</w:t>
      </w:r>
      <w:r>
        <w:rPr/>
        <w:t xml:space="preserve"> has been obtained.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"Financial support for lost wages" means a partial replacement of lost wages due to a temporary or permanent total disability.</w:t>
      </w:r>
    </w:p>
    <w:p>
      <w:pPr>
        <w:spacing w:before="0" w:after="0" w:line="408" w:lineRule="exact"/>
        <w:ind w:left="0" w:right="0" w:firstLine="576"/>
        <w:jc w:val="left"/>
      </w:pPr>
      <w:r>
        <w:rPr/>
        <w:t xml:space="preserve">(8) "Gainfully employed" means engaging on a regular and continuous basis in a lawful activity from which a person derives a livelihood.</w:t>
      </w:r>
    </w:p>
    <w:p>
      <w:pPr>
        <w:spacing w:before="0" w:after="0" w:line="408" w:lineRule="exact"/>
        <w:ind w:left="0" w:right="0" w:firstLine="576"/>
        <w:jc w:val="left"/>
      </w:pPr>
      <w:r>
        <w:rPr/>
        <w:t xml:space="preserve">(9)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(10) "Invalid" means one who is physically or mentally incapacitated from earning wages.</w:t>
      </w:r>
    </w:p>
    <w:p>
      <w:pPr>
        <w:spacing w:before="0" w:after="0" w:line="408" w:lineRule="exact"/>
        <w:ind w:left="0" w:right="0" w:firstLine="576"/>
        <w:jc w:val="left"/>
      </w:pPr>
      <w:r>
        <w:rPr/>
        <w:t xml:space="preserve">(11)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(12)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(13)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(15)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2011 c 346 s 206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chapters 18.57A and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chapters 18.57A and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w:t>
      </w:r>
      <w:r>
        <w:rPr>
          <w:u w:val="single"/>
        </w:rPr>
        <w:t xml:space="preserve">. Payments for providers' services under the fee schedule established pursuant to this subsection (2)(g) may not be less than payments provided for comparable services under the workers' compensation program under Title 51 RCW</w:t>
      </w:r>
      <w:r>
        <w:rPr/>
        <w:t xml:space="preserve">;</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2011 c 346 s 401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No more than fifty thousand dollars shall be paid in total per claim, of which nonmedical benefits shall not exceed forty thousand dollars of the entire claim. Benefits may include a combination of burial expenses, financial support for lost wages, and medical expenses.</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(c) Benefits for disposition of remains or burial expenses shall not exceed </w:t>
      </w:r>
      <w:r>
        <w:t>((</w:t>
      </w:r>
      <w:r>
        <w:rPr>
          <w:strike/>
        </w:rPr>
        <w:t xml:space="preserve">five</w:t>
      </w:r>
      <w:r>
        <w:t>))</w:t>
      </w:r>
      <w:r>
        <w:rPr/>
        <w:t xml:space="preserve"> </w:t>
      </w:r>
      <w:r>
        <w:rPr>
          <w:u w:val="single"/>
        </w:rPr>
        <w:t xml:space="preserve">six</w:t>
      </w:r>
      <w:r>
        <w:rPr/>
        <w:t xml:space="preserve"> thousand </w:t>
      </w:r>
      <w:r>
        <w:t>((</w:t>
      </w:r>
      <w:r>
        <w:rPr>
          <w:strike/>
        </w:rPr>
        <w:t xml:space="preserve">seven</w:t>
      </w:r>
      <w:r>
        <w:t>))</w:t>
      </w:r>
      <w:r>
        <w:rPr/>
        <w:t xml:space="preserve"> </w:t>
      </w:r>
      <w:r>
        <w:rPr>
          <w:u w:val="single"/>
        </w:rPr>
        <w:t xml:space="preserve">one</w:t>
      </w:r>
      <w:r>
        <w:rPr/>
        <w:t xml:space="preserve"> hundred </w:t>
      </w:r>
      <w:r>
        <w:t>((</w:t>
      </w:r>
      <w:r>
        <w:rPr>
          <w:strike/>
        </w:rPr>
        <w:t xml:space="preserve">fifty</w:t>
      </w:r>
      <w:r>
        <w:t>))</w:t>
      </w:r>
      <w:r>
        <w:rPr/>
        <w:t xml:space="preserve"> </w:t>
      </w:r>
      <w:r>
        <w:rPr>
          <w:u w:val="single"/>
        </w:rPr>
        <w:t xml:space="preserve">seventy</w:t>
      </w:r>
      <w:r>
        <w:rPr/>
        <w:t xml:space="preserve"> dollars per claim. </w:t>
      </w:r>
      <w:r>
        <w:rPr>
          <w:u w:val="single"/>
        </w:rPr>
        <w:t xml:space="preserve">Beginning July 1, 2020, the department shall adjust the amount in this subsection (1)(c) for inflation every three years based upon changes in the consumer price index during that time period. As used in this subsection (1)(c),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(2) If the victim was not gainfully employed at the time of the criminal act </w:t>
      </w:r>
      <w:r>
        <w:rPr>
          <w:u w:val="single"/>
        </w:rPr>
        <w:t xml:space="preserve">or for a total of twelve weeks in the six months preceding the date of the criminal act</w:t>
      </w:r>
      <w:r>
        <w:rPr/>
        <w:t xml:space="preserve">, no financial support for lost wages will be paid to the victim or any beneficiaries.</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 If the director determines that the victim is voluntarily retired and is no longer attached to the workforce, benefits shall not be paid under this section.</w:t>
      </w:r>
    </w:p>
    <w:p>
      <w:pPr>
        <w:spacing w:before="0" w:after="0" w:line="408" w:lineRule="exact"/>
        <w:ind w:left="0" w:right="0" w:firstLine="576"/>
        <w:jc w:val="left"/>
      </w:pPr>
      <w:r>
        <w:rPr/>
        <w:t xml:space="preserve">(8)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rPr/>
        <w:t xml:space="preserve">(9) The benefits for disposition of remains or burial expenses shall not exceed </w:t>
      </w:r>
      <w:r>
        <w:t>((</w:t>
      </w:r>
      <w:r>
        <w:rPr>
          <w:strike/>
        </w:rPr>
        <w:t xml:space="preserve">five</w:t>
      </w:r>
      <w:r>
        <w:t>))</w:t>
      </w:r>
      <w:r>
        <w:rPr/>
        <w:t xml:space="preserve"> </w:t>
      </w:r>
      <w:r>
        <w:rPr>
          <w:u w:val="single"/>
        </w:rPr>
        <w:t xml:space="preserve">six</w:t>
      </w:r>
      <w:r>
        <w:rPr/>
        <w:t xml:space="preserve"> thousand </w:t>
      </w:r>
      <w:r>
        <w:t>((</w:t>
      </w:r>
      <w:r>
        <w:rPr>
          <w:strike/>
        </w:rPr>
        <w:t xml:space="preserve">seven</w:t>
      </w:r>
      <w:r>
        <w:t>))</w:t>
      </w:r>
      <w:r>
        <w:rPr/>
        <w:t xml:space="preserve"> </w:t>
      </w:r>
      <w:r>
        <w:rPr>
          <w:u w:val="single"/>
        </w:rPr>
        <w:t xml:space="preserve">one</w:t>
      </w:r>
      <w:r>
        <w:rPr/>
        <w:t xml:space="preserve"> hundred </w:t>
      </w:r>
      <w:r>
        <w:t>((</w:t>
      </w:r>
      <w:r>
        <w:rPr>
          <w:strike/>
        </w:rPr>
        <w:t xml:space="preserve">fifty</w:t>
      </w:r>
      <w:r>
        <w:t>))</w:t>
      </w:r>
      <w:r>
        <w:rPr/>
        <w:t xml:space="preserve"> </w:t>
      </w:r>
      <w:r>
        <w:rPr>
          <w:u w:val="single"/>
        </w:rPr>
        <w:t xml:space="preserve">seventy</w:t>
      </w:r>
      <w:r>
        <w:rPr/>
        <w:t xml:space="preserve"> dollars per claim and to receive reimbursement for expenses related to the disposition of remains or burial, the department must receive an itemized statement from a provider of services </w:t>
      </w:r>
      <w:r>
        <w:t>((</w:t>
      </w:r>
      <w:r>
        <w:rPr>
          <w:strike/>
        </w:rPr>
        <w:t xml:space="preserve">within twelve months of the date upon which the death of the victim is officially recognized as a homicide. If there is a delay in the recovery of remains or the release of remains for disposition or burial, an itemized statement from a provider of services must be received within twelve months of the date of the release of the remains</w:t>
      </w:r>
      <w:r>
        <w:t>))</w:t>
      </w:r>
      <w:r>
        <w:rPr/>
        <w:t xml:space="preserve">. </w:t>
      </w:r>
      <w:r>
        <w:rPr>
          <w:u w:val="single"/>
        </w:rPr>
        <w:t xml:space="preserve">Beginning July 1, 2020, the department shall adjust the amount in this subsection (9) for inflation every three years based upon changes in the consumer price index during that time period. As used in this subsection (9),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(10)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rPr/>
        <w:t xml:space="preserve">(11) Crime victims' compensation is not available to pay for services covered under chapter 74.09 RCW or Title XIX of the federal social security act.</w:t>
      </w:r>
    </w:p>
    <w:p>
      <w:pPr>
        <w:spacing w:before="0" w:after="0" w:line="408" w:lineRule="exact"/>
        <w:ind w:left="0" w:right="0" w:firstLine="576"/>
        <w:jc w:val="left"/>
      </w:pPr>
      <w:r>
        <w:rPr/>
        <w:t xml:space="preserve">(12)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rPr/>
        <w:t xml:space="preserve">(13)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rPr/>
        <w:t xml:space="preserve">(14) The benefits established in RCW 51.32.080 for permanent partial disability will not be provided to any crime victim or for any claim submitted on or after July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2011 1st sp.s. c 15 s 69 and 2011 c 346 s 501 are each reenacted and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w:t>
      </w:r>
      <w:r>
        <w:t>((</w:t>
      </w:r>
      <w:r>
        <w:rPr>
          <w:strike/>
        </w:rPr>
        <w:t xml:space="preserve">by the health care authority</w:t>
      </w:r>
      <w:r>
        <w:t>))</w:t>
      </w:r>
      <w:r>
        <w:rPr/>
        <w:t xml:space="preserve"> </w:t>
      </w:r>
      <w:r>
        <w:rPr>
          <w:u w:val="single"/>
        </w:rPr>
        <w:t xml:space="preserve">for comparable services under the workers' compensation program</w:t>
      </w:r>
      <w:r>
        <w:rPr/>
        <w:t xml:space="preserve"> under Title </w:t>
      </w:r>
      <w:r>
        <w:t>((</w:t>
      </w:r>
      <w:r>
        <w:rPr>
          <w:strike/>
        </w:rPr>
        <w:t xml:space="preserve">74</w:t>
      </w:r>
      <w:r>
        <w:t>))</w:t>
      </w:r>
      <w:r>
        <w:rPr/>
        <w:t xml:space="preserve"> </w:t>
      </w:r>
      <w:r>
        <w:rPr>
          <w:u w:val="single"/>
        </w:rPr>
        <w:t xml:space="preserve">51</w:t>
      </w:r>
      <w:r>
        <w:rPr/>
        <w:t xml:space="preserve"> RCW.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 Immediate family members of a homicide victim may receive appropriate counseling to assist in dealing with the immediate, near</w:t>
      </w:r>
      <w:r>
        <w:rPr/>
        <w:noBreakHyphen/>
      </w:r>
      <w:r>
        <w:rPr/>
        <w:t xml:space="preserve">term consequences of the related effects of the homicide. Up to twelve counseling sessions may be received </w:t>
      </w:r>
      <w:r>
        <w:t>((</w:t>
      </w:r>
      <w:r>
        <w:rPr>
          <w:strike/>
        </w:rPr>
        <w:t xml:space="preserve">for one year</w:t>
      </w:r>
      <w:r>
        <w:t>))</w:t>
      </w:r>
      <w:r>
        <w:rPr/>
        <w:t xml:space="preserve">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(7) Pursuant to RCW 7.68.070(12),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
      <w:pPr>
        <w:jc w:val="center"/>
      </w:pPr>
      <w:r>
        <w:rPr>
          <w:b/>
        </w:rPr>
        <w:t>--- END ---</w:t>
      </w:r>
    </w:p>
    <w:sectPr>
      <w:pgNumType w:start="1"/>
      <w:footerReference xmlns:r="http://schemas.openxmlformats.org/officeDocument/2006/relationships" r:id="R0f384c3b20b743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9c1b0d5dd4b02" /><Relationship Type="http://schemas.openxmlformats.org/officeDocument/2006/relationships/footer" Target="/word/footer.xml" Id="R0f384c3b20b7430e" /></Relationships>
</file>