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cc097f0f84a64" /></Relationships>
</file>

<file path=word/document.xml><?xml version="1.0" encoding="utf-8"?>
<w:document xmlns:w="http://schemas.openxmlformats.org/wordprocessingml/2006/main">
  <w:body>
    <w:p>
      <w:r>
        <w:t>H-1255.1</w:t>
      </w:r>
    </w:p>
    <w:p>
      <w:pPr>
        <w:jc w:val="center"/>
      </w:pPr>
      <w:r>
        <w:t>_______________________________________________</w:t>
      </w:r>
    </w:p>
    <w:p/>
    <w:p>
      <w:pPr>
        <w:jc w:val="center"/>
      </w:pPr>
      <w:r>
        <w:rPr>
          <w:b/>
        </w:rPr>
        <w:t>HOUSE BILL 1748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and Johnson</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within the growth management act to improve affordable housing opportunities in rural communities; and amending RCW 36.70A.030 and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w:t>
      </w:r>
      <w:r>
        <w:t>((</w:t>
      </w:r>
      <w:r>
        <w:rPr>
          <w:strike/>
        </w:rPr>
        <w:t xml:space="preserve">traditional</w:t>
      </w:r>
      <w:r>
        <w:t>))</w:t>
      </w:r>
      <w:r>
        <w:rPr/>
        <w:t xml:space="preserve"> rural lifestyles, rural-based economies, and opportunities to both live and work in rural areas</w:t>
      </w:r>
      <w:r>
        <w:t>((</w:t>
      </w:r>
      <w:r>
        <w:rPr>
          <w:strike/>
        </w:rPr>
        <w:t xml:space="preserve">;</w:t>
      </w:r>
    </w:p>
    <w:p>
      <w:pPr>
        <w:spacing w:before="0" w:after="0" w:line="408" w:lineRule="exact"/>
        <w:ind w:left="0" w:right="0" w:firstLine="576"/>
        <w:jc w:val="left"/>
      </w:pPr>
      <w:r>
        <w:rPr>
          <w:strike/>
        </w:rPr>
        <w:t xml:space="preserve">(c) That provide visual landscapes that are traditionally found in rural areas and communities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That are compatible with the use of the land by wildlife and for fish and wildlife habitat</w:t>
      </w:r>
      <w:r>
        <w:t>((</w:t>
      </w:r>
      <w:r>
        <w:rPr>
          <w:strike/>
        </w:rPr>
        <w:t xml:space="preserve">;</w:t>
      </w:r>
    </w:p>
    <w:p>
      <w:pPr>
        <w:spacing w:before="0" w:after="0" w:line="408" w:lineRule="exact"/>
        <w:ind w:left="0" w:right="0" w:firstLine="576"/>
        <w:jc w:val="left"/>
      </w:pPr>
      <w:r>
        <w:rPr>
          <w:strike/>
        </w:rPr>
        <w:t xml:space="preserve">(e) That reduce the inappropriate conversion of undeveloped land into sprawling, low-density development;</w:t>
      </w:r>
    </w:p>
    <w:p>
      <w:pPr>
        <w:spacing w:before="0" w:after="0" w:line="408" w:lineRule="exact"/>
        <w:ind w:left="0" w:right="0" w:firstLine="576"/>
        <w:jc w:val="left"/>
      </w:pPr>
      <w:r>
        <w:rPr>
          <w:strike/>
        </w:rPr>
        <w:t xml:space="preserve">(f) That generally do not require the extension of urban governmental services; and</w:t>
      </w:r>
    </w:p>
    <w:p>
      <w:pPr>
        <w:spacing w:before="0" w:after="0" w:line="408" w:lineRule="exact"/>
        <w:ind w:left="0" w:right="0" w:firstLine="576"/>
        <w:jc w:val="left"/>
      </w:pPr>
      <w:r>
        <w:rPr>
          <w:strike/>
        </w:rPr>
        <w:t xml:space="preserve">(g) That are consistent with the protection of natural surface water flows and groundwater and surface water recharge and discharge areas</w:t>
      </w:r>
      <w:r>
        <w:t>))</w:t>
      </w:r>
      <w:r>
        <w:rPr/>
        <w:t xml:space="preserve">.</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w:t>
      </w:r>
      <w:r>
        <w:rPr>
          <w:u w:val="single"/>
        </w:rPr>
        <w:t xml:space="preserve">housing</w:t>
      </w:r>
      <w:r>
        <w:rPr/>
        <w:t xml:space="preserve">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w:t>
      </w:r>
      <w:r>
        <w:rPr>
          <w:u w:val="single"/>
        </w:rPr>
        <w:t xml:space="preserve">Rural development includes the use of exempt wells without restriction under this chapter.</w:t>
      </w:r>
      <w:r>
        <w:rPr/>
        <w:t xml:space="preserve">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w:t>
      </w:r>
      <w:r>
        <w:t>((</w:t>
      </w:r>
      <w:r>
        <w:rPr>
          <w:strike/>
        </w:rPr>
        <w:t xml:space="preserve">apply to rural development and protect the rural character of the area, as established by the county, by:</w:t>
      </w:r>
    </w:p>
    <w:p>
      <w:pPr>
        <w:spacing w:before="0" w:after="0" w:line="408" w:lineRule="exact"/>
        <w:ind w:left="0" w:right="0" w:firstLine="576"/>
        <w:jc w:val="left"/>
      </w:pPr>
      <w:r>
        <w:rPr>
          <w:strike/>
        </w:rPr>
        <w:t xml:space="preserve">(i) Containing or otherwise controlling rural development;</w:t>
      </w:r>
    </w:p>
    <w:p>
      <w:pPr>
        <w:spacing w:before="0" w:after="0" w:line="408" w:lineRule="exact"/>
        <w:ind w:left="0" w:right="0" w:firstLine="576"/>
        <w:jc w:val="left"/>
      </w:pPr>
      <w:r>
        <w:rPr>
          <w:strike/>
        </w:rPr>
        <w:t xml:space="preserve">(ii) Assuring visual compatibility of rural development with the surrounding rural area;</w:t>
      </w:r>
    </w:p>
    <w:p>
      <w:pPr>
        <w:spacing w:before="0" w:after="0" w:line="408" w:lineRule="exact"/>
        <w:ind w:left="0" w:right="0" w:firstLine="576"/>
        <w:jc w:val="left"/>
      </w:pPr>
      <w:r>
        <w:rPr>
          <w:strike/>
        </w:rPr>
        <w:t xml:space="preserve">(iii) Reducing the inappropriate conversion of undeveloped land into sprawling, low-density development in the rural area;</w:t>
      </w:r>
    </w:p>
    <w:p>
      <w:pPr>
        <w:spacing w:before="0" w:after="0" w:line="408" w:lineRule="exact"/>
        <w:ind w:left="0" w:right="0" w:firstLine="576"/>
        <w:jc w:val="left"/>
      </w:pPr>
      <w:r>
        <w:rPr>
          <w:strike/>
        </w:rPr>
        <w:t xml:space="preserve">(iv) Protecting critical areas, as provided in RCW 36.70A.060, and surface water and groundwater resources; and</w:t>
      </w:r>
    </w:p>
    <w:p>
      <w:pPr>
        <w:spacing w:before="0" w:after="0" w:line="408" w:lineRule="exact"/>
        <w:ind w:left="0" w:right="0" w:firstLine="576"/>
        <w:jc w:val="left"/>
      </w:pPr>
      <w:r>
        <w:rPr>
          <w:strike/>
        </w:rPr>
        <w:t xml:space="preserve">(v) Protecting against conflicts with the use of agricultural, forest, and mineral resource lands designated under RCW 36.70A.170</w:t>
      </w:r>
      <w:r>
        <w:t>))</w:t>
      </w:r>
      <w:r>
        <w:rPr/>
        <w:t xml:space="preserve"> </w:t>
      </w:r>
      <w:r>
        <w:rPr>
          <w:u w:val="single"/>
        </w:rPr>
        <w:t xml:space="preserve">protect against conflicts with the use of agricultural, forest, and mineral resource lands designated under RCW 36.70A.170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w:t>
      </w:r>
      <w:r>
        <w:t>((</w:t>
      </w:r>
      <w:r>
        <w:rPr>
          <w:strike/>
        </w:rPr>
        <w:t xml:space="preserve">(5)(d)</w:t>
      </w:r>
      <w:r>
        <w:t>))</w:t>
      </w:r>
      <w:r>
        <w:rPr/>
        <w:t xml:space="preserve">,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w:t>
      </w:r>
      <w:r>
        <w:t>((</w:t>
      </w:r>
      <w:r>
        <w:rPr>
          <w:strike/>
        </w:rPr>
        <w:t xml:space="preserve">, but are not subject to the requirements of (c)(ii) and (iii) of this subsection</w:t>
      </w:r>
      <w:r>
        <w:t>))</w:t>
      </w:r>
      <w:r>
        <w:rPr/>
        <w:t xml:space="preserve">.</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w:t>
      </w:r>
      <w:r>
        <w:t>((</w:t>
      </w:r>
      <w:r>
        <w:rPr>
          <w:strike/>
        </w:rPr>
        <w:t xml:space="preserve">(5)(d)(i)</w:t>
      </w:r>
      <w:r>
        <w:t>))</w:t>
      </w:r>
      <w:r>
        <w:rPr/>
        <w:t xml:space="preserve">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ab9ee5c5132540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778622b894a81" /><Relationship Type="http://schemas.openxmlformats.org/officeDocument/2006/relationships/footer" Target="/word/footer.xml" Id="Rab9ee5c5132540fc" /></Relationships>
</file>