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6bec69f99a43fb" /></Relationships>
</file>

<file path=word/document.xml><?xml version="1.0" encoding="utf-8"?>
<w:document xmlns:w="http://schemas.openxmlformats.org/wordprocessingml/2006/main">
  <w:body>
    <w:p>
      <w:r>
        <w:t>H-2003.1</w:t>
      </w:r>
    </w:p>
    <w:p>
      <w:pPr>
        <w:jc w:val="center"/>
      </w:pPr>
      <w:r>
        <w:t>_______________________________________________</w:t>
      </w:r>
    </w:p>
    <w:p/>
    <w:p>
      <w:pPr>
        <w:jc w:val="center"/>
      </w:pPr>
      <w:r>
        <w:rPr>
          <w:b/>
        </w:rPr>
        <w:t>SUBSTITUTE HOUSE BILL 1753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Cody and Jinkins;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substance use disorders; amending RCW 70.96A.140 and 71.05.760;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designated chemical dependency specialists currently have the authority to sign an initial substance use disorder involuntary treatment petition. The initial petition is required to have an accompanying certificate from a physician in support of the petition unless the person waives the physician examination.</w:t>
      </w:r>
    </w:p>
    <w:p>
      <w:pPr>
        <w:spacing w:before="0" w:after="0" w:line="408" w:lineRule="exact"/>
        <w:ind w:left="0" w:right="0" w:firstLine="576"/>
        <w:jc w:val="left"/>
      </w:pPr>
      <w:r>
        <w:rPr/>
        <w:t xml:space="preserve">(2) The legislature further finds that Engrossed Third Substitute House Bill No. 1713, which passed in the first special session of 2016, directed the department of social and health services to integrate substance use disorder involuntary treatment and mental health involuntary treatment provisions. During the interim period between June 28, 2016 and April 1, 2018, however, that law does not recognize a designated chemical dependency specialist as one of the qualified examining professionals authorized to sign an initial fourteen-day substance use disorder detention petition. That law, however, does recognize a designated chemical dependency specialist as a qualified examining professional for signing ninety-day substance use disorder detention petitions.</w:t>
      </w:r>
    </w:p>
    <w:p>
      <w:pPr>
        <w:spacing w:before="0" w:after="0" w:line="408" w:lineRule="exact"/>
        <w:ind w:left="0" w:right="0" w:firstLine="576"/>
        <w:jc w:val="left"/>
      </w:pPr>
      <w:r>
        <w:rPr/>
        <w:t xml:space="preserve">(3) Accordingly, the intent of this act is to correct this technical oversight by recognizing a designated chemical dependency specialist as one of the qualified examining professionals authorized to sign an initial fourteen-day substance use disorder detention petition during the interim period between June 28, 2016 and April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(C) One physician assistant and a mental health professional </w:t>
      </w:r>
      <w:r>
        <w:rPr>
          <w:u w:val="single"/>
        </w:rPr>
        <w:t xml:space="preserve">or designated chemical dependency specialist</w:t>
      </w:r>
      <w:r>
        <w:rPr/>
        <w:t xml:space="preserve">; or</w:t>
      </w:r>
    </w:p>
    <w:p>
      <w:pPr>
        <w:spacing w:before="0" w:after="0" w:line="408" w:lineRule="exact"/>
        <w:ind w:left="0" w:right="0" w:firstLine="576"/>
        <w:jc w:val="left"/>
      </w:pPr>
      <w:r>
        <w:rPr/>
        <w:t xml:space="preserve">(D) One psychiatric advanced registered nurse practitioner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he or she shall be given an opportunity to be examined by a court appointed licensed physician, psychiatric advanced registered nurse practitioner, physician assistant, </w:t>
      </w:r>
      <w:r>
        <w:rPr>
          <w:u w:val="single"/>
        </w:rPr>
        <w:t xml:space="preserve">mental health professional, or designated chemical dependency specialist,</w:t>
      </w:r>
      <w:r>
        <w:rPr/>
        <w:t xml:space="preserve">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w:t>
      </w:r>
      <w:r>
        <w:rPr>
          <w:u w:val="single"/>
        </w:rPr>
        <w:t xml:space="preserve">mental health professional, designated chemical dependency specialist,</w:t>
      </w:r>
      <w:r>
        <w:rPr/>
        <w:t xml:space="preserve">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w:t>
      </w:r>
      <w:r>
        <w:rPr>
          <w:u w:val="single"/>
        </w:rPr>
        <w:t xml:space="preserve">mental health professional, designated chemical dependency specialist,</w:t>
      </w:r>
      <w:r>
        <w:rPr/>
        <w:t xml:space="preserve">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w:t>
      </w:r>
      <w:r>
        <w:rPr>
          <w:u w:val="single"/>
        </w:rPr>
        <w:t xml:space="preserve">physician assistant working with a supervising psychiatrist,</w:t>
      </w:r>
      <w:r>
        <w:rPr/>
        <w:t xml:space="preserve">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1b825768db647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6469bbf52d4021" /><Relationship Type="http://schemas.openxmlformats.org/officeDocument/2006/relationships/footer" Target="/word/footer.xml" Id="R51b825768db647b8" /></Relationships>
</file>