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cbb63a6b54325" /></Relationships>
</file>

<file path=word/document.xml><?xml version="1.0" encoding="utf-8"?>
<w:document xmlns:w="http://schemas.openxmlformats.org/wordprocessingml/2006/main">
  <w:body>
    <w:p>
      <w:r>
        <w:t>H-2140.1</w:t>
      </w:r>
    </w:p>
    <w:p>
      <w:pPr>
        <w:jc w:val="center"/>
      </w:pPr>
      <w:r>
        <w:t>_______________________________________________</w:t>
      </w:r>
    </w:p>
    <w:p/>
    <w:p>
      <w:pPr>
        <w:jc w:val="center"/>
      </w:pPr>
      <w:r>
        <w:rPr>
          <w:b/>
        </w:rPr>
        <w:t>SECOND SUBSTITUTE HOUSE BILL 1783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Holy, Goodman, Hansen, Hayes, Stokesbary, Senn, Orwall, Kagi, Appleton, Kilduff, Rodne, Jinkins, Taylor, Shea, Tharinger, Frame, Fitzgibbon, Bergquist, Fey, Macri, Ryu, Doglio, Pellicciotti, Peterson, Santos, Reeves, Kloba, Robinson, Stanford, Hudgins, McBride, Ormsby,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43.43.7541, and 7.68.035; reenacting and amending RCW 3.62.020;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2015 3rd sp.s. c 35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other than a pretrial electronic alcohol monitoring program, drug monitoring program, or 24/7 sobriety program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w:t>
      </w:r>
      <w:r>
        <w:t>((</w:t>
      </w:r>
      <w:r>
        <w:rPr>
          <w:strike/>
        </w:rPr>
        <w:t xml:space="preserve">contumacious</w:t>
      </w:r>
      <w:r>
        <w:t>))</w:t>
      </w:r>
      <w:r>
        <w:rPr/>
        <w:t xml:space="preserve"> </w:t>
      </w:r>
      <w:r>
        <w:rPr>
          <w:u w:val="single"/>
        </w:rPr>
        <w:t xml:space="preserve">willful</w:t>
      </w:r>
      <w:r>
        <w:rPr/>
        <w:t xml:space="preserve">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at the rate of no less than the state minimum wage established in RCW 49.46.020 for each hour of community restitution. Manifest hardship exists where the defendant is indigent as defined in RCW 10.101.010(3) (a) through (c)</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2015 c 265 s 22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is not in </w:t>
      </w:r>
      <w:r>
        <w:t>((</w:t>
      </w:r>
      <w:r>
        <w:rPr>
          <w:strike/>
        </w:rPr>
        <w:t xml:space="preserve">contumacious</w:t>
      </w:r>
      <w:r>
        <w:t>))</w:t>
      </w:r>
      <w:r>
        <w:rPr/>
        <w:t xml:space="preserve"> </w:t>
      </w:r>
      <w:r>
        <w:rPr>
          <w:u w:val="single"/>
        </w:rPr>
        <w:t xml:space="preserve">willful</w:t>
      </w:r>
      <w:r>
        <w:rPr/>
        <w:t xml:space="preserve">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at the rate of no less than the state minimum wage established in RCW 49.46.020 for each hour of community restitution. Manifest hardship exists where the defendant or juvenile offender is indigent as defined in RCW 10.101.010(3) (a) through (c)</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w:t>
      </w:r>
      <w:r>
        <w:t>((</w:t>
      </w:r>
      <w:r>
        <w:rPr>
          <w:strike/>
        </w:rPr>
        <w:t xml:space="preserve">contumacious</w:t>
      </w:r>
      <w:r>
        <w:t>))</w:t>
      </w:r>
      <w:r>
        <w:rPr/>
        <w:t xml:space="preserve"> </w:t>
      </w:r>
      <w:r>
        <w:rPr>
          <w:u w:val="single"/>
        </w:rPr>
        <w:t xml:space="preserve">willful</w:t>
      </w:r>
      <w:r>
        <w:rPr/>
        <w:t xml:space="preserve">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w:t>
      </w:r>
      <w:r>
        <w:t>))</w:t>
      </w:r>
      <w:r>
        <w:rPr/>
        <w:t xml:space="preserve"> </w:t>
      </w:r>
      <w:r>
        <w:rPr>
          <w:u w:val="single"/>
        </w:rPr>
        <w:t xml:space="preserve">made by or on behalf of an offender</w:t>
      </w:r>
      <w:r>
        <w:rPr/>
        <w:t xml:space="preserve">, the county clerk shall distribute the payment </w:t>
      </w:r>
      <w:r>
        <w:t>((</w:t>
      </w:r>
      <w:r>
        <w:rPr>
          <w:strike/>
        </w:rPr>
        <w:t xml:space="preserve">proportionally among all other fines, costs, and assessments imposed, unless otherwise ordered by the court</w:t>
      </w:r>
      <w:r>
        <w:t>))</w:t>
      </w:r>
      <w:r>
        <w:rPr/>
        <w:t xml:space="preserve"> </w:t>
      </w:r>
      <w:r>
        <w:rPr>
          <w:u w:val="single"/>
        </w:rPr>
        <w:t xml:space="preserve">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2015 c 265 s 28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2015 c 265 s 31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2015 c 265 s 8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t>
      </w:r>
      <w:r>
        <w:t>((</w:t>
      </w:r>
      <w:r>
        <w:rPr>
          <w:strike/>
        </w:rPr>
        <w:t xml:space="preserve">who shall monthly transmit the money as provided in RCW 10.82.070</w:t>
      </w:r>
      <w:r>
        <w:t>))</w:t>
      </w:r>
      <w:r>
        <w:rPr/>
        <w:t xml:space="preserve">. Each county shall deposit </w:t>
      </w:r>
      <w:r>
        <w:t>((</w:t>
      </w:r>
      <w:r>
        <w:rPr>
          <w:strike/>
        </w:rPr>
        <w:t xml:space="preserve">fifty</w:t>
      </w:r>
      <w:r>
        <w:t>))</w:t>
      </w:r>
      <w:r>
        <w:rPr/>
        <w:t xml:space="preserve"> </w:t>
      </w:r>
      <w:r>
        <w:rPr>
          <w:u w:val="single"/>
        </w:rPr>
        <w:t xml:space="preserve">one hundred</w:t>
      </w:r>
      <w:r>
        <w:rPr/>
        <w:t xml:space="preserve"> percent of the money it receives per case or cause of action under subsection (1) of this section </w:t>
      </w:r>
      <w:r>
        <w:t>((</w:t>
      </w:r>
      <w:r>
        <w:rPr>
          <w:strike/>
        </w:rPr>
        <w:t xml:space="preserve">and retains under RCW 10.82.070</w:t>
      </w:r>
      <w:r>
        <w:t>))</w:t>
      </w:r>
      <w:r>
        <w:rPr/>
        <w:t xml:space="preserve">,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f036efaa0f4d40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87b31d67d4130" /><Relationship Type="http://schemas.openxmlformats.org/officeDocument/2006/relationships/footer" Target="/word/footer.xml" Id="Rf036efaa0f4d408a" /></Relationships>
</file>