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fc48db91354977" /></Relationships>
</file>

<file path=word/document.xml><?xml version="1.0" encoding="utf-8"?>
<w:document xmlns:w="http://schemas.openxmlformats.org/wordprocessingml/2006/main">
  <w:body>
    <w:p>
      <w:r>
        <w:t>H-0984.3</w:t>
      </w:r>
    </w:p>
    <w:p>
      <w:pPr>
        <w:jc w:val="center"/>
      </w:pPr>
      <w:r>
        <w:t>_______________________________________________</w:t>
      </w:r>
    </w:p>
    <w:p/>
    <w:p>
      <w:pPr>
        <w:jc w:val="center"/>
      </w:pPr>
      <w:r>
        <w:rPr>
          <w:b/>
        </w:rPr>
        <w:t>HOUSE BILL 1819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Dent, Senn, Kagi, Griffey, Johnson, and McBride</w:t>
      </w:r>
    </w:p>
    <w:p/>
    <w:p>
      <w:r>
        <w:rPr>
          <w:t xml:space="preserve">Read first time 01/30/17.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paperwork reduction in order to improve the availability of mental health services to protect children and families; adding a new section to chapter 71.24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prioritized recommendation of the children's mental health work group, as reported in December 2016, is to reduce burdensome and duplicative paperwork requirements for providers of children's mental health services. This recommendation is consistent with the recommendations of the behavioral health workforce assessment of the workforce training and education coordinating board to reduce time-consuming documentation requirements and the behavioral and primary health regulatory alignment task force to streamline regulations and reduce the time spent responding to inefficient and excessive audits.</w:t>
      </w:r>
    </w:p>
    <w:p>
      <w:pPr>
        <w:spacing w:before="0" w:after="0" w:line="408" w:lineRule="exact"/>
        <w:ind w:left="0" w:right="0" w:firstLine="576"/>
        <w:jc w:val="left"/>
      </w:pPr>
      <w:r>
        <w:rPr/>
        <w:t xml:space="preserve">The legislature further finds that duplicative and overly prescriptive documentation and audit requirements negatively impact the adequacy of the provider network by reducing workforce morale and limiting the time available for patient care. Such requirements create costly barriers to the efficient provision of services for children and their families. These barriers can be reduced while creating a greater emphasis on quality, outcomes, and safety.</w:t>
      </w:r>
    </w:p>
    <w:p>
      <w:pPr>
        <w:spacing w:before="0" w:after="0" w:line="408" w:lineRule="exact"/>
        <w:ind w:left="0" w:right="0" w:firstLine="576"/>
        <w:jc w:val="left"/>
      </w:pPr>
      <w:r>
        <w:rPr/>
        <w:t xml:space="preserve">The legislature further finds that social workers serving children are encumbered by burdensome paperwork requirements which can interfere with the effective delivery of services.</w:t>
      </w:r>
    </w:p>
    <w:p>
      <w:pPr>
        <w:spacing w:before="0" w:after="0" w:line="408" w:lineRule="exact"/>
        <w:ind w:left="0" w:right="0" w:firstLine="576"/>
        <w:jc w:val="left"/>
      </w:pPr>
      <w:r>
        <w:rPr/>
        <w:t xml:space="preserve">Therefore, the legislature intends to require the department of social and health services to take steps to reduce paperwork, documentation, and audit requirements that are inefficient or duplicative for social workers who serve children and for providers of mental health services to children and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Rules adopted by the department relating to the provision of behavioral health services must:</w:t>
      </w:r>
    </w:p>
    <w:p>
      <w:pPr>
        <w:spacing w:before="0" w:after="0" w:line="408" w:lineRule="exact"/>
        <w:ind w:left="0" w:right="0" w:firstLine="576"/>
        <w:jc w:val="left"/>
      </w:pPr>
      <w:r>
        <w:rPr/>
        <w:t xml:space="preserve">(a) Limit prescriptive requirements for individual initial assessments to allow clinicians to exercise professional judgment to conduct age-appropriate, strength-based psychosocial assessments, including current needs and relevant history according to current best practices;</w:t>
      </w:r>
    </w:p>
    <w:p>
      <w:pPr>
        <w:spacing w:before="0" w:after="0" w:line="408" w:lineRule="exact"/>
        <w:ind w:left="0" w:right="0" w:firstLine="576"/>
        <w:jc w:val="left"/>
      </w:pPr>
      <w:r>
        <w:rPr/>
        <w:t xml:space="preserve">(b) By October 1, 2017, provide a single set of regulations for agencies to follow that provide mental health, substance use disorder, and co-occurring treatment services;</w:t>
      </w:r>
    </w:p>
    <w:p>
      <w:pPr>
        <w:spacing w:before="0" w:after="0" w:line="408" w:lineRule="exact"/>
        <w:ind w:left="0" w:right="0" w:firstLine="576"/>
        <w:jc w:val="left"/>
      </w:pPr>
      <w:r>
        <w:rPr/>
        <w:t xml:space="preserve">(c) Focus on quality, outcomes, and safety above process; and</w:t>
      </w:r>
    </w:p>
    <w:p>
      <w:pPr>
        <w:spacing w:before="0" w:after="0" w:line="408" w:lineRule="exact"/>
        <w:ind w:left="0" w:right="0" w:firstLine="576"/>
        <w:jc w:val="left"/>
      </w:pPr>
      <w:r>
        <w:rPr/>
        <w:t xml:space="preserve">(d) Be clear and not unduly burdensome in order to maximize the time available for the provision of care.</w:t>
      </w:r>
    </w:p>
    <w:p>
      <w:pPr>
        <w:spacing w:before="0" w:after="0" w:line="408" w:lineRule="exact"/>
        <w:ind w:left="0" w:right="0" w:firstLine="576"/>
        <w:jc w:val="left"/>
      </w:pPr>
      <w:r>
        <w:rPr/>
        <w:t xml:space="preserve">(2) Audits conducted by the department relating to provision of behavioral health services must:</w:t>
      </w:r>
    </w:p>
    <w:p>
      <w:pPr>
        <w:spacing w:before="0" w:after="0" w:line="408" w:lineRule="exact"/>
        <w:ind w:left="0" w:right="0" w:firstLine="576"/>
        <w:jc w:val="left"/>
      </w:pPr>
      <w:r>
        <w:rPr/>
        <w:t xml:space="preserve">(a) Focus on quality, outcomes, and safety above process;</w:t>
      </w:r>
    </w:p>
    <w:p>
      <w:pPr>
        <w:spacing w:before="0" w:after="0" w:line="408" w:lineRule="exact"/>
        <w:ind w:left="0" w:right="0" w:firstLine="576"/>
        <w:jc w:val="left"/>
      </w:pPr>
      <w:r>
        <w:rPr/>
        <w:t xml:space="preserve">(b) Rely on a sampling methodology to conduct reviews of personnel files and clinical records based on written guidelines established by the department that are consistent with the standards of other licensing and accrediting bodies;</w:t>
      </w:r>
    </w:p>
    <w:p>
      <w:pPr>
        <w:spacing w:before="0" w:after="0" w:line="408" w:lineRule="exact"/>
        <w:ind w:left="0" w:right="0" w:firstLine="576"/>
        <w:jc w:val="left"/>
      </w:pPr>
      <w:r>
        <w:rPr/>
        <w:t xml:space="preserve">(c) Treat organizations with multiple locations as a single entity. The department must not require annual visits at all locations operated by a single entity when a sample of records may be reviewed from a centralized location;</w:t>
      </w:r>
    </w:p>
    <w:p>
      <w:pPr>
        <w:spacing w:before="0" w:after="0" w:line="408" w:lineRule="exact"/>
        <w:ind w:left="0" w:right="0" w:firstLine="576"/>
        <w:jc w:val="left"/>
      </w:pPr>
      <w:r>
        <w:rPr/>
        <w:t xml:space="preserve">(d) Share audit results with behavioral health organizations to assist with their review process and, when appropriate, take steps to coordinate and combine audit activities;</w:t>
      </w:r>
    </w:p>
    <w:p>
      <w:pPr>
        <w:spacing w:before="0" w:after="0" w:line="408" w:lineRule="exact"/>
        <w:ind w:left="0" w:right="0" w:firstLine="576"/>
        <w:jc w:val="left"/>
      </w:pPr>
      <w:r>
        <w:rPr/>
        <w:t xml:space="preserve">(e) Coordinate audit functions between the department and the department of health to combine audit activities into a single site visit and eliminate redundancies;</w:t>
      </w:r>
    </w:p>
    <w:p>
      <w:pPr>
        <w:spacing w:before="0" w:after="0" w:line="408" w:lineRule="exact"/>
        <w:ind w:left="0" w:right="0" w:firstLine="576"/>
        <w:jc w:val="left"/>
      </w:pPr>
      <w:r>
        <w:rPr/>
        <w:t xml:space="preserve">(f) Not require information to be provided in particular documents or locations when the same information is included or demonstrated elsewhere in the clinical file, except where required by federal law; and</w:t>
      </w:r>
    </w:p>
    <w:p>
      <w:pPr>
        <w:spacing w:before="0" w:after="0" w:line="408" w:lineRule="exact"/>
        <w:ind w:left="0" w:right="0" w:firstLine="576"/>
        <w:jc w:val="left"/>
      </w:pPr>
      <w:r>
        <w:rPr/>
        <w:t xml:space="preserve">(g) Ensure that audits involving manualized programs such as wraparound with intensive services or other evidence or research-based programs are conducted to the extent practicable by personnel familiar with the program model and in a manner consistent with the documentation requirements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must immediately perform a review of casework documentation and paperwork requirements for social workers with the department who provide services to children. The review must identify areas in which duplicative or inefficient documentation and paperwork requirements can be eliminated or streamlined in order to allow social workers to spend greater amounts of time and attention on direct services to children and their families. The department must complete the review by November 1, 2017. Upon completion of the review, the department must take immediate steps to amend department rules and procedures accordingly.</w:t>
      </w:r>
    </w:p>
    <w:p>
      <w:pPr>
        <w:spacing w:before="0" w:after="0" w:line="408" w:lineRule="exact"/>
        <w:ind w:left="0" w:right="0" w:firstLine="576"/>
        <w:jc w:val="left"/>
      </w:pPr>
      <w:r>
        <w:rPr/>
        <w:t xml:space="preserve">(2) This section expires December 31, 2018.</w:t>
      </w:r>
    </w:p>
    <w:p/>
    <w:p>
      <w:pPr>
        <w:jc w:val="center"/>
      </w:pPr>
      <w:r>
        <w:rPr>
          <w:b/>
        </w:rPr>
        <w:t>--- END ---</w:t>
      </w:r>
    </w:p>
    <w:sectPr>
      <w:pgNumType w:start="1"/>
      <w:footerReference xmlns:r="http://schemas.openxmlformats.org/officeDocument/2006/relationships" r:id="R34146acd5d1b47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051393a36f4e7d" /><Relationship Type="http://schemas.openxmlformats.org/officeDocument/2006/relationships/footer" Target="/word/footer.xml" Id="R34146acd5d1b472a" /></Relationships>
</file>