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3980a71b14b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Irwin, Hudgins, and Stanford; by request of Office of Financial Management</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more efficient use of state facilities through aligning the functions of the department of enterprise services and the office of financial management, collecting additional space use data, and making technical corrections; and amending RCW 43.82.010, 43.82.055, and 43.82.150.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w:t>
      </w:r>
      <w:r>
        <w:rPr>
          <w:u w:val="single"/>
        </w:rPr>
        <w:t xml:space="preserve">with input from state agencies, including the department of enterprise services. The office of financial management shall seek input from real estate trade organizations and other stakeholders when preparing these standards</w:t>
      </w:r>
      <w:r>
        <w:rPr/>
        <w:t xml:space="preserve">.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 The office of financial management shall consult with the affected state agencies and the department of enterprise services when evaluating these opportunities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
      <w:pPr>
        <w:jc w:val="center"/>
      </w:pPr>
      <w:r>
        <w:rPr>
          <w:b/>
        </w:rPr>
        <w:t>--- END ---</w:t>
      </w:r>
    </w:p>
    <w:sectPr>
      <w:pgNumType w:start="1"/>
      <w:footerReference xmlns:r="http://schemas.openxmlformats.org/officeDocument/2006/relationships" r:id="Ree3ee8b7781143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7d91da1fe4f64" /><Relationship Type="http://schemas.openxmlformats.org/officeDocument/2006/relationships/footer" Target="/word/footer.xml" Id="Ree3ee8b778114389" /></Relationships>
</file>