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b778488194cef" /></Relationships>
</file>

<file path=word/document.xml><?xml version="1.0" encoding="utf-8"?>
<w:document xmlns:w="http://schemas.openxmlformats.org/wordprocessingml/2006/main">
  <w:body>
    <w:p>
      <w:r>
        <w:t>Z-0105.1</w:t>
      </w:r>
    </w:p>
    <w:p>
      <w:pPr>
        <w:jc w:val="center"/>
      </w:pPr>
      <w:r>
        <w:t>_______________________________________________</w:t>
      </w:r>
    </w:p>
    <w:p/>
    <w:p>
      <w:pPr>
        <w:jc w:val="center"/>
      </w:pPr>
      <w:r>
        <w:rPr>
          <w:b/>
        </w:rPr>
        <w:t>HOUSE BILL 1833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Doglio, Jinkins, and Ortiz-Self; by request of Public Disclosure Commission</w:t>
      </w:r>
    </w:p>
    <w:p/>
    <w:p>
      <w:r>
        <w:rPr>
          <w:t xml:space="preserve">Read first time 01/31/17.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reporting by elected and appointed officials, candidates, and appointees; and amending RCW 42.17A.120, 42.17A.700, 42.17A.710, and 42.17A.755.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after a hearing is held and the suspension or modification receives approval from a majority of the commission. </w:t>
      </w:r>
      <w:r>
        <w:rPr>
          <w:u w:val="single"/>
        </w:rPr>
        <w:t xml:space="preserve">A suspension or modification of the financial affairs reporting requirements in RCW 42.17A.710 may be approved for an elected official's term of office, or for up to three years for an executive state officer, where no material change in the applicant's circumstances is anticipated.</w:t>
      </w:r>
      <w:r>
        <w:rPr/>
        <w:t xml:space="preserve"> The commission shall act to suspend or modify any reporting requirements:</w:t>
      </w:r>
    </w:p>
    <w:p>
      <w:pPr>
        <w:spacing w:before="0" w:after="0" w:line="408" w:lineRule="exact"/>
        <w:ind w:left="0" w:right="0" w:firstLine="576"/>
        <w:jc w:val="left"/>
      </w:pPr>
      <w:r>
        <w:rPr/>
        <w:t xml:space="preserve">(a) Only if it determines that facts exist that are clear and convincing proof of the findings required under this section; and</w:t>
      </w:r>
    </w:p>
    <w:p>
      <w:pPr>
        <w:spacing w:before="0" w:after="0" w:line="408" w:lineRule="exact"/>
        <w:ind w:left="0" w:right="0" w:firstLine="576"/>
        <w:jc w:val="left"/>
      </w:pPr>
      <w:r>
        <w:rPr/>
        <w:t xml:space="preserve">(b) Only to the extent necessary to substantially relieve the hardship.</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his or her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p>
    <w:p>
      <w:pPr>
        <w:spacing w:before="0" w:after="0" w:line="408" w:lineRule="exact"/>
        <w:ind w:left="0" w:right="0" w:firstLine="576"/>
        <w:jc w:val="left"/>
      </w:pPr>
      <w:r>
        <w:rPr/>
        <w:t xml:space="preserve">(4)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(5)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shall file with the commission a statement of financial affairs for the preceding calendar year. However, any local elected official whose term of office ends on December 31st shall file the statement required to be filed by this section for the final year of his or her term.</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w:t>
      </w:r>
      <w:r>
        <w:rPr>
          <w:u w:val="single"/>
        </w:rPr>
        <w:t xml:space="preserve">(a)</w:t>
      </w:r>
      <w:r>
        <w:rPr/>
        <w:t xml:space="preserve">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p>
    <w:p>
      <w:pPr>
        <w:spacing w:before="0" w:after="0" w:line="408" w:lineRule="exact"/>
        <w:ind w:left="0" w:right="0" w:firstLine="576"/>
        <w:jc w:val="left"/>
      </w:pPr>
      <w:r>
        <w:rPr>
          <w:u w:val="single"/>
        </w:rPr>
        <w:t xml:space="preserve">(b) No later than January 15th, a person appointed to a vacancy in an elective office or executive state officer position during the month of December shall file with the commission a statement of financial affairs for the period beginning twelve months prior to the appointment and ending December 31st of the year in which the appointment occurred. This initial report also satisfies the filing requirement set out in subsection (1) of this section.</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his or her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w:t>
      </w:r>
      <w:r>
        <w:rPr>
          <w:u w:val="single"/>
        </w:rPr>
        <w:t xml:space="preserve">(i)</w:t>
      </w:r>
      <w:r>
        <w:rPr/>
        <w:t xml:space="preserve"> Each bank account, savings account, and insurance policy in which a direct financial interest was held that exceeds </w:t>
      </w:r>
      <w:r>
        <w:t>((</w:t>
      </w:r>
      <w:r>
        <w:rPr>
          <w:strike/>
        </w:rPr>
        <w:t xml:space="preserve">twenty</w:t>
      </w:r>
      <w:r>
        <w:t>))</w:t>
      </w:r>
      <w:r>
        <w:rPr/>
        <w:t xml:space="preserve"> </w:t>
      </w:r>
      <w:r>
        <w:rPr>
          <w:u w:val="single"/>
        </w:rPr>
        <w:t xml:space="preserve">twenty-four</w:t>
      </w:r>
      <w:r>
        <w:rPr/>
        <w:t xml:space="preserve"> thousand dollars at any time during the reporting period</w:t>
      </w:r>
      <w:r>
        <w:rPr>
          <w:u w:val="single"/>
        </w:rPr>
        <w:t xml:space="preserve">, and its highest value during the reporting period</w:t>
      </w:r>
      <w:r>
        <w:rPr/>
        <w:t xml:space="preserve">; </w:t>
      </w:r>
      <w:r>
        <w:rPr>
          <w:u w:val="single"/>
        </w:rPr>
        <w:t xml:space="preserve">and</w:t>
      </w:r>
    </w:p>
    <w:p>
      <w:pPr>
        <w:spacing w:before="0" w:after="0" w:line="408" w:lineRule="exact"/>
        <w:ind w:left="0" w:right="0" w:firstLine="576"/>
        <w:jc w:val="left"/>
      </w:pPr>
      <w:r>
        <w:rPr>
          <w:u w:val="single"/>
        </w:rPr>
        <w:t xml:space="preserve">(ii) E</w:t>
      </w:r>
      <w:r>
        <w:rPr/>
        <w:t xml:space="preserve">ach other item of intangible personal property in which a direct financial interest was held that exceeds </w:t>
      </w:r>
      <w:r>
        <w:t>((</w:t>
      </w:r>
      <w:r>
        <w:rPr>
          <w:strike/>
        </w:rPr>
        <w:t xml:space="preserve">two</w:t>
      </w:r>
      <w:r>
        <w:t>))</w:t>
      </w:r>
      <w:r>
        <w:rPr/>
        <w:t xml:space="preserve"> </w:t>
      </w:r>
      <w:r>
        <w:rPr>
          <w:u w:val="single"/>
        </w:rPr>
        <w:t xml:space="preserve">five</w:t>
      </w:r>
      <w:r>
        <w:rPr/>
        <w:t xml:space="preserve"> thousand dollars during the reporting period</w:t>
      </w:r>
      <w:r>
        <w:t>((</w:t>
      </w:r>
      <w:r>
        <w:rPr>
          <w:strike/>
        </w:rPr>
        <w:t xml:space="preserve">; the name, address, and nature of the entity; and the nature and highest value of each direct financial interest during the reporting period</w:t>
      </w:r>
      <w:r>
        <w:t>))</w:t>
      </w:r>
      <w:r>
        <w:rPr>
          <w:u w:val="single"/>
        </w:rPr>
        <w:t xml:space="preserve">. For each reportable interest under this subsection (1)(b)(ii), the disclosure must include the name and nature of the direct financial interest and its value. For purposes of reporting the value of any reportable direct financial interest held on December 31st of the reporting period, the year-end value may be used. When reporting the value of any reportable direct financial interest not held on December 31st of the reporting period, the highest value during the reporting period must be used. Ownership of shares of multiple mutual funds within the same mutual fund family may be disclosed by reporting the mutual fund family name</w:t>
      </w:r>
      <w:r>
        <w:rPr/>
        <w:t xml:space="preserve">;</w:t>
      </w:r>
    </w:p>
    <w:p>
      <w:pPr>
        <w:spacing w:before="0" w:after="0" w:line="408" w:lineRule="exact"/>
        <w:ind w:left="0" w:right="0" w:firstLine="576"/>
        <w:jc w:val="left"/>
      </w:pPr>
      <w:r>
        <w:rPr/>
        <w:t xml:space="preserve">(c) The name and address of each creditor to whom the value of two thousand </w:t>
      </w:r>
      <w:r>
        <w:rPr>
          <w:u w:val="single"/>
        </w:rPr>
        <w:t xml:space="preserve">four hundred</w:t>
      </w:r>
      <w:r>
        <w:rPr/>
        <w:t xml:space="preserve">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 </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w:t>
      </w:r>
      <w:r>
        <w:rPr>
          <w:u w:val="single"/>
        </w:rPr>
        <w:t xml:space="preserve">four hundred</w:t>
      </w:r>
      <w:r>
        <w:rPr/>
        <w:t xml:space="preserve">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w:t>
      </w:r>
      <w:r>
        <w:t>((</w:t>
      </w:r>
      <w:r>
        <w:rPr>
          <w:strike/>
        </w:rPr>
        <w:t xml:space="preserve">ten</w:t>
      </w:r>
      <w:r>
        <w:t>))</w:t>
      </w:r>
      <w:r>
        <w:rPr/>
        <w:t xml:space="preserve"> </w:t>
      </w:r>
      <w:r>
        <w:rPr>
          <w:u w:val="single"/>
        </w:rPr>
        <w:t xml:space="preserve">twelve</w:t>
      </w:r>
      <w:r>
        <w:rPr/>
        <w:t xml:space="preserve">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w:t>
      </w:r>
      <w:r>
        <w:t>((</w:t>
      </w:r>
      <w:r>
        <w:rPr>
          <w:strike/>
        </w:rPr>
        <w:t xml:space="preserve">four</w:t>
      </w:r>
      <w:r>
        <w:t>))</w:t>
      </w:r>
      <w:r>
        <w:rPr/>
        <w:t xml:space="preserve"> </w:t>
      </w:r>
      <w:r>
        <w:rPr>
          <w:u w:val="single"/>
        </w:rPr>
        <w:t xml:space="preserve">nine</w:t>
      </w:r>
      <w:r>
        <w:rPr/>
        <w:t xml:space="preserve"> hundred dollars; </w:t>
      </w:r>
    </w:p>
    <w:p>
      <w:pPr>
        <w:spacing w:before="0" w:after="0" w:line="408" w:lineRule="exact"/>
        <w:ind w:left="0" w:right="0" w:firstLine="576"/>
        <w:jc w:val="left"/>
      </w:pPr>
      <w:r>
        <w:rPr/>
        <w:t xml:space="preserve">(h)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twenty</w:t>
      </w:r>
      <w:r>
        <w:t>))</w:t>
      </w:r>
      <w:r>
        <w:rPr/>
        <w:t xml:space="preserve"> </w:t>
      </w:r>
      <w:r>
        <w:rPr>
          <w:u w:val="single"/>
        </w:rPr>
        <w:t xml:space="preserve">twenty-four</w:t>
      </w:r>
      <w:r>
        <w:rPr/>
        <w:t xml:space="preserve">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 </w:t>
      </w:r>
      <w:r>
        <w:rPr>
          <w:u w:val="single"/>
        </w:rPr>
        <w:t xml:space="preserve">When judges, prosecutors, sheriffs, or their immediate family members are required to disclose real property that is the personal residence of the judge, prosecutor, or sheriff, subsection (1)(h) through (k) of this section may be satisfied by listing the city or town for the mailing address where the property is located.</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as provided in (b) of this subsection</w:t>
      </w:r>
      <w:r>
        <w:rPr/>
        <w:t xml:space="preserve">.</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945"/>
        <w:gridCol w:w="3915"/>
      </w:tblGrid>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A</w:t>
            </w:r>
          </w:p>
        </w:tc>
        <w:tc>
          <w:tcPr>
            <w:tcW w:w="391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Less than $30,000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B</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$30,000 but less than $60,000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C</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$60,000 but less than $100,000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D</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$100,000 but less than $200,000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E</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$200,000 but less than $500,000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F</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$500,000 but less than $750,000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G</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$750,000 but less than $1,000,000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H</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$1,000,000 or more</w:t>
            </w:r>
          </w:p>
        </w:tc>
      </w:tr>
    </w:tbl>
    <w:p>
      <w:pPr>
        <w:spacing w:before="120" w:after="0" w:line="408" w:lineRule="exact"/>
        <w:ind w:left="0" w:right="0" w:firstLine="576"/>
        <w:jc w:val="left"/>
      </w:pPr>
      <w:r>
        <w:rPr>
          <w:u w:val="single"/>
        </w:rPr>
        <w:t xml:space="preserve">(c)</w:t>
      </w:r>
      <w:r>
        <w:rPr/>
        <w:t xml:space="preserve"> An amount of stock may be reported by number of shares instead of by market value.</w:t>
      </w:r>
    </w:p>
    <w:p>
      <w:pPr>
        <w:spacing w:before="0" w:after="0" w:line="408" w:lineRule="exact"/>
        <w:ind w:left="0" w:right="0" w:firstLine="576"/>
        <w:jc w:val="left"/>
      </w:pPr>
      <w:r>
        <w:rPr>
          <w:u w:val="single"/>
        </w:rPr>
        <w:t xml:space="preserve">(d)</w:t>
      </w:r>
      <w:r>
        <w:rPr/>
        <w:t xml:space="preserve"> No provision of this subsection </w:t>
      </w:r>
      <w:r>
        <w:rPr>
          <w:u w:val="single"/>
        </w:rPr>
        <w:t xml:space="preserve">(3)</w:t>
      </w:r>
      <w:r>
        <w:rPr/>
        <w:t xml:space="preserve">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(a) determine whether an actual violation of this chapter has occurred; and (b) issue and enforce an appropriate order following such a determination.</w:t>
      </w:r>
    </w:p>
    <w:p>
      <w:pPr>
        <w:spacing w:before="0" w:after="0" w:line="408" w:lineRule="exact"/>
        <w:ind w:left="0" w:right="0" w:firstLine="576"/>
        <w:jc w:val="left"/>
      </w:pPr>
      <w:r>
        <w:rPr/>
        <w:t xml:space="preserve">(2) The commission, in cases where it chooses to determine whether an actual violation has occurred, shall hold a hearing pursuant to the administrative procedure act, chapter 34.05 RCW, to make a determination. Any order that the commission issues under this section shall be pursuant to such a hearing.</w:t>
      </w:r>
    </w:p>
    <w:p>
      <w:pPr>
        <w:spacing w:before="0" w:after="0" w:line="408" w:lineRule="exact"/>
        <w:ind w:left="0" w:right="0" w:firstLine="576"/>
        <w:jc w:val="left"/>
      </w:pPr>
      <w:r>
        <w:rPr/>
        <w:t xml:space="preserve">(3) In lieu of holding a hearing or issuing an order under this section, the commission may refer the matter to the attorney general or other enforcement agency as provided in RCW 42.17A.105.</w:t>
      </w:r>
    </w:p>
    <w:p>
      <w:pPr>
        <w:spacing w:before="0" w:after="0" w:line="408" w:lineRule="exact"/>
        <w:ind w:left="0" w:right="0" w:firstLine="576"/>
        <w:jc w:val="left"/>
      </w:pPr>
      <w:r>
        <w:rPr/>
        <w:t xml:space="preserve">(4)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w:t>
      </w:r>
      <w:r>
        <w:t>((</w:t>
      </w:r>
      <w:r>
        <w:rPr>
          <w:strike/>
        </w:rPr>
        <w:t xml:space="preserve">(e)</w:t>
      </w:r>
      <w:r>
        <w:t>))</w:t>
      </w:r>
      <w:r>
        <w:rPr/>
        <w:t xml:space="preserve"> </w:t>
      </w:r>
      <w:r>
        <w:rPr>
          <w:u w:val="single"/>
        </w:rPr>
        <w:t xml:space="preserve">(f)</w:t>
      </w:r>
      <w:r>
        <w:rPr/>
        <w:t xml:space="preserve">. </w:t>
      </w:r>
      <w:r>
        <w:rPr>
          <w:u w:val="single"/>
        </w:rPr>
        <w:t xml:space="preserve">The commission may order the respondent to take specific action to comply with this chapter.</w:t>
      </w:r>
      <w:r>
        <w:rPr/>
        <w:t xml:space="preserve"> The commission may assess a penalty in an amount not to exceed ten thousand dollars.</w:t>
      </w:r>
    </w:p>
    <w:p>
      <w:pPr>
        <w:spacing w:before="0" w:after="0" w:line="408" w:lineRule="exact"/>
        <w:ind w:left="0" w:right="0" w:firstLine="576"/>
        <w:jc w:val="left"/>
      </w:pPr>
      <w:r>
        <w:rPr/>
        <w:t xml:space="preserve">(5)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pPr>
        <w:spacing w:before="0" w:after="0" w:line="408" w:lineRule="exact"/>
        <w:ind w:left="0" w:right="0" w:firstLine="576"/>
        <w:jc w:val="left"/>
      </w:pPr>
      <w:r>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p>
    <w:p/>
    <w:p>
      <w:pPr>
        <w:jc w:val="center"/>
      </w:pPr>
      <w:r>
        <w:rPr>
          <w:b/>
        </w:rPr>
        <w:t>--- END ---</w:t>
      </w:r>
    </w:p>
    <w:sectPr>
      <w:pgNumType w:start="1"/>
      <w:footerReference xmlns:r="http://schemas.openxmlformats.org/officeDocument/2006/relationships" r:id="R96f8c38f1ea643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3a6f864104fb9" /><Relationship Type="http://schemas.openxmlformats.org/officeDocument/2006/relationships/footer" Target="/word/footer.xml" Id="R96f8c38f1ea6436f" /></Relationships>
</file>