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1964b65c8c451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1849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Sells, Doglio, Pollet, Ormsby, Tharinger, and Farrell</w:t>
      </w:r>
    </w:p>
    <w:p/>
    <w:p>
      <w:r>
        <w:rPr>
          <w:t xml:space="preserve">Read first time 02/01/17.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apprenticeship utilization requirements; amending RCW 39.04.320; adding a new section to chapter 49.04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2015 3rd sp.s. c 40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2015, and before July 1, 2020, for all public works by the department of transportation estimated to cost three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w:t>
      </w:r>
      <w:r>
        <w:rPr>
          <w:u w:val="single"/>
        </w:rPr>
        <w:t xml:space="preserve">(a)</w:t>
      </w:r>
      <w:r>
        <w:rPr/>
        <w:t xml:space="preserve">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u w:val="single"/>
        </w:rPr>
        <w:t xml:space="preserve">(b) Within existing resources, awarding agencies are responsible for monitoring apprenticeship utilization hours by contractor. There must be a specific line item in the contract specifying that apprenticeship utilization goals should be met, monetary incentives for meeting the goals, monetary penalties for not meeting the goals, and an expected cost value to be included in the bid associated with meeting the goals. The awarding agency must report the apprenticeship utilization by contractor and subcontractor to the supervisor of apprenticeship at the department of labor and industries by final project acceptance. The electronic reporting system that is being developed by the department of labor and industries may be used for either or both monitoring and reporting apprenticeship utilization hours.</w:t>
      </w:r>
    </w:p>
    <w:p>
      <w:pPr>
        <w:spacing w:before="0" w:after="0" w:line="408" w:lineRule="exact"/>
        <w:ind w:left="0" w:right="0" w:firstLine="576"/>
        <w:jc w:val="left"/>
      </w:pPr>
      <w:r>
        <w:rPr>
          <w:u w:val="single"/>
        </w:rPr>
        <w:t xml:space="preserve">(c) In lieu of the monetary penalty and incentive requirements specified in (b) of this subsection, the Washington state department of transportation may use its three strike system for ensuring compliance including the allowance for a good faith effort.</w:t>
      </w:r>
    </w:p>
    <w:p>
      <w:pPr>
        <w:spacing w:before="0" w:after="0" w:line="408" w:lineRule="exact"/>
        <w:ind w:left="0" w:right="0" w:firstLine="576"/>
        <w:jc w:val="left"/>
      </w:pPr>
      <w:r>
        <w:rPr/>
        <w:t xml:space="preserve">(5)(a) The department of enterprise services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enterprise services in providing information and technical assistance.</w:t>
      </w:r>
    </w:p>
    <w:p>
      <w:pPr>
        <w:spacing w:before="0" w:after="0" w:line="408" w:lineRule="exact"/>
        <w:ind w:left="0" w:right="0" w:firstLine="576"/>
        <w:jc w:val="left"/>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0" w:after="0" w:line="408" w:lineRule="exact"/>
        <w:ind w:left="0" w:right="0" w:firstLine="576"/>
        <w:jc w:val="left"/>
      </w:pPr>
      <w:r>
        <w:rPr>
          <w:u w:val="single"/>
        </w:rPr>
        <w:t xml:space="preserve">(8) All contracts subject to this section must include specifications that a contractor or subcontractor may not be required to exceed the apprenticeship utilization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the duties established under RCW 49.04.030, the supervisor of apprenticeship must verify compliance by contractors, subcontractors, and awarding agencies of apprenticeship utilization requirements. The supervisor may coordinate with the department of enterprise services, the state department of transportation, the office of the superintendent of public instruction, and any other appropriate agency or organization to assist in tracking compliance.</w:t>
      </w:r>
    </w:p>
    <w:p>
      <w:pPr>
        <w:spacing w:before="0" w:after="0" w:line="408" w:lineRule="exact"/>
        <w:ind w:left="0" w:right="0" w:firstLine="576"/>
        <w:jc w:val="left"/>
      </w:pPr>
      <w:r>
        <w:rPr/>
        <w:t xml:space="preserve">(2) Compliance information must be made available to the apprenticeship council and must be used to determine compliance for purposes of RCW 39.04.350 and 39.12.055.</w:t>
      </w:r>
    </w:p>
    <w:p>
      <w:pPr>
        <w:spacing w:before="0" w:after="0" w:line="408" w:lineRule="exact"/>
        <w:ind w:left="0" w:right="0" w:firstLine="576"/>
        <w:jc w:val="left"/>
      </w:pPr>
      <w:r>
        <w:rPr/>
        <w:t xml:space="preserve">(3) The director of labor and industries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13bf978303c94c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13ad0ee94640d7" /><Relationship Type="http://schemas.openxmlformats.org/officeDocument/2006/relationships/footer" Target="/word/footer.xml" Id="R13bf978303c94c92" /></Relationships>
</file>