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c190a0021414a" /></Relationships>
</file>

<file path=word/document.xml><?xml version="1.0" encoding="utf-8"?>
<w:document xmlns:w="http://schemas.openxmlformats.org/wordprocessingml/2006/main">
  <w:body>
    <w:p>
      <w:r>
        <w:t>H-1289.1</w:t>
      </w:r>
    </w:p>
    <w:p>
      <w:pPr>
        <w:jc w:val="center"/>
      </w:pPr>
      <w:r>
        <w:t>_______________________________________________</w:t>
      </w:r>
    </w:p>
    <w:p/>
    <w:p>
      <w:pPr>
        <w:jc w:val="center"/>
      </w:pPr>
      <w:r>
        <w:rPr>
          <w:b/>
        </w:rPr>
        <w:t>HOUSE BILL 1854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Schmick, and Tharinger</w:t>
      </w:r>
    </w:p>
    <w:p/>
    <w:p>
      <w:r>
        <w:rPr>
          <w:t xml:space="preserve">Read first time 02/01/17.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transition of medicaid enrollees to skilled nursing facility care; amending RCW 74.09.522;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r>
        <w:rPr>
          <w:u w:val="single"/>
        </w:rPr>
        <w:t xml:space="preserve">, and including a demonstrated capability to appropriately transition enrollees in a timely manner to skilled nursing facility care when it is determined to be more appropriate than acute hospital care</w:t>
      </w:r>
      <w:r>
        <w:rPr/>
        <w:t xml:space="preserve">;</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u w:val="single"/>
        </w:rPr>
        <w:t xml:space="preserve">(g) The authority shall actively monitor and enforce contractors' responsibility to coordinate the timely and appropriate transition of enrollees to skilled nursing facility care when it is determined to be more appropriate than acute hospital care. The authority shall incentivize timely and appropriate transition of enrollees to skilled nursing facility care by levying an overstay fee if an enrollee is not placed in a skilled nursing facility within a reasonable time period. The overstay fee is calculated based on the administrative day rate established by rule by the authority. Following notice by an acute care hospital to the contractor that an enrollee is ready for transition to skilled nursing facility care, if the enrollee remains ready for transition to skilled nursing facility care and in the acute care hospital longer than ten days, the overstay fee will equal one-third of the administrative day rate per day for days eleven through twenty. If the enrollee remains ready for transition to skilled nursing facility care and in the acute care hospital longer than twenty days, the overstay fee will equal two-thirds of the administrative day rate for days twenty-one through thirty. If the enrollee remains ready for transition to skilled nursing facility care and in the acute care hospital longer than thirty days, the overstay fee will equal twice the administrative day rate for each additional day. Any overstay fees owed by the contractor will be paid to the authority for deposit in the state general fund.</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w:t>
      </w:r>
    </w:p>
    <w:p>
      <w:pPr>
        <w:spacing w:before="0" w:after="0" w:line="408" w:lineRule="exact"/>
        <w:ind w:left="0" w:right="0" w:firstLine="576"/>
        <w:jc w:val="left"/>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must conduct a survey of skilled nursing facilities licensed under chapter 18.51 RCW to identify barriers in skilled nursing facilities accepting and admitting enrollees from acute care hospitals in a timely and appropriate manner. The survey must include questions to identify what additional resources are needed to accept enrollees, including those with complex needs. The authority must create a report on the survey results, including identifying steps to improve timely and appropriate transfer of enrollees from acute care hospitals. The report must also include information on the number and trend in administrative days, by facility and contractor. The survey results and the authority's report must be publicly available, including posted on the agency's web site.</w:t>
      </w:r>
    </w:p>
    <w:p/>
    <w:p>
      <w:pPr>
        <w:jc w:val="center"/>
      </w:pPr>
      <w:r>
        <w:rPr>
          <w:b/>
        </w:rPr>
        <w:t>--- END ---</w:t>
      </w:r>
    </w:p>
    <w:sectPr>
      <w:pgNumType w:start="1"/>
      <w:footerReference xmlns:r="http://schemas.openxmlformats.org/officeDocument/2006/relationships" r:id="R1d9bc415667245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e81f7e1254cf7" /><Relationship Type="http://schemas.openxmlformats.org/officeDocument/2006/relationships/footer" Target="/word/footer.xml" Id="R1d9bc415667245a3" /></Relationships>
</file>