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703c9569b41dd" /></Relationships>
</file>

<file path=word/document.xml><?xml version="1.0" encoding="utf-8"?>
<w:document xmlns:w="http://schemas.openxmlformats.org/wordprocessingml/2006/main">
  <w:body>
    <w:p>
      <w:r>
        <w:t>H-1275.1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Blake, Stambaugh, and Gregerson</w:t>
      </w:r>
    </w:p>
    <w:p/>
    <w:p>
      <w:r>
        <w:rPr>
          <w:t xml:space="preserve">Read first time 02/01/17.  </w:t>
        </w:rPr>
      </w:r>
      <w:r>
        <w:rPr>
          <w:t xml:space="preserve">Referred to Committee on Labor &amp; Workplace Standards.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vehicle identification of electrical contractors; and adding a new section to chapter 19.28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19</w:t>
      </w:r>
      <w:r>
        <w:rPr/>
        <w:t xml:space="preserve">.</w:t>
      </w:r>
      <w:r>
        <w:t xml:space="preserve">28</w:t>
      </w:r>
      <w:r>
        <w:rPr/>
        <w:t xml:space="preserve"> RCW</w:t>
      </w:r>
      <w:r>
        <w:rPr/>
        <w:t xml:space="preserve"> to be codified between RCW 19.28.041 and 19.28.141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licensed self-propelled motor vehicle used by a general or specialty electrical contractor while engaged in the electrical construction trade must be marked with the contractor's legal business name and license number issued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marking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Appear on both sides of the vehicle;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Be in letters that contrast sharply in color with the background on which the letters are placed;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Be readily legible during daylight hours from a distance of fifty feet while the vehicle is stationary;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Be kept and maintained in a manner that retains the legibility required by (c) of this subsection.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marking may be affixed by adhesive, painted on the vehicle, or consist of a removable device, if the other requirements of this section are met.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38820b4781a48e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8b58b01745a2" /><Relationship Type="http://schemas.openxmlformats.org/officeDocument/2006/relationships/footer" Target="/word/footer.xml" Id="Rc38820b4781a48eb" /></Relationships>
</file>