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7c401ec3f4648" /></Relationships>
</file>

<file path=word/document.xml><?xml version="1.0" encoding="utf-8"?>
<w:document xmlns:w="http://schemas.openxmlformats.org/wordprocessingml/2006/main">
  <w:body>
    <w:p>
      <w:r>
        <w:t>H-2077.1</w:t>
      </w:r>
    </w:p>
    <w:p>
      <w:pPr>
        <w:jc w:val="center"/>
      </w:pPr>
      <w:r>
        <w:t>_______________________________________________</w:t>
      </w:r>
    </w:p>
    <w:p/>
    <w:p>
      <w:pPr>
        <w:jc w:val="center"/>
      </w:pPr>
      <w:r>
        <w:rPr>
          <w:b/>
        </w:rPr>
        <w:t>SUBSTITUTE HOUSE BILL 1860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Fey, Jinkins, and Sawyer)</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population-based representation on the governing body of public transportation benefit areas; amending RCW 36.57A.050 and 36.57A.055;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2010 c 278 s 3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w:t>
      </w:r>
      <w:r>
        <w:rPr>
          <w:u w:val="single"/>
        </w:rPr>
        <w:t xml:space="preserve">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w:t>
      </w:r>
      <w:r>
        <w:rPr/>
        <w:t xml:space="preserve"> If at the time a public transportation benefit area authority assumes the public transportation functions previously provided under the </w:t>
      </w:r>
      <w:r>
        <w:rPr>
          <w:u w:val="single"/>
        </w:rPr>
        <w:t xml:space="preserve">i</w:t>
      </w:r>
      <w:r>
        <w:rPr/>
        <w:t xml:space="preserve">nterlocal </w:t>
      </w:r>
      <w:r>
        <w:rPr>
          <w:u w:val="single"/>
        </w:rPr>
        <w:t xml:space="preserve">c</w:t>
      </w:r>
      <w:r>
        <w:rPr/>
        <w:t xml:space="preserve">ooperation </w:t>
      </w:r>
      <w:r>
        <w:rPr>
          <w:u w:val="single"/>
        </w:rPr>
        <w:t xml:space="preserve">a</w:t>
      </w:r>
      <w:r>
        <w:rPr/>
        <w:t xml:space="preserve">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w:t>
      </w:r>
      <w:r>
        <w:rPr>
          <w:u w:val="single"/>
        </w:rPr>
        <w:t xml:space="preserve">public</w:t>
      </w:r>
      <w:r>
        <w:rPr/>
        <w:t xml:space="preserve">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055</w:t>
      </w:r>
      <w:r>
        <w:rPr/>
        <w:t xml:space="preserve"> and 1991 c 318 s 16 are each amended to read as follows:</w:t>
      </w:r>
    </w:p>
    <w:p>
      <w:pPr>
        <w:spacing w:before="0" w:after="0" w:line="408" w:lineRule="exact"/>
        <w:ind w:left="0" w:right="0" w:firstLine="576"/>
        <w:jc w:val="left"/>
      </w:pPr>
      <w:r>
        <w:rPr/>
        <w:t xml:space="preserve">After a public transportation benefit area has been in existence for four years, members of the county legislative authority and the elected representative of each city within the boundaries of the public transportation benefit area shall review the composition of the governing body of the benefit area and change the composition of the governing body if the change is deemed appropriate. </w:t>
      </w:r>
      <w:r>
        <w:rPr>
          <w:u w:val="single"/>
        </w:rPr>
        <w:t xml:space="preserve">When determining if a change to the composition of the governing body is appropriate, the proportional representation requirements of RCW 36.57A.050 must be taken into consideration if the population of the county in which the public transportation benefit area is located is more than four hundred thousand and the county does not also contain a city with a population of seventy-five thousand or more operating a transit system pursuant to chapter 35.95 RCW, and the composition of the governing body must be changed if necessary to meet this requirement.</w:t>
      </w:r>
      <w:r>
        <w:rPr/>
        <w:t xml:space="preserve"> The review shall be at a meeting of the designated representatives of the component county and cities, and the majority of those present shall constitute a quorum at such meeting. Twenty days notice of the meeting shall be given by the chief administrative officer of the public transportation benefit area authority. After the initial review, a review shall be held every four years.</w:t>
      </w:r>
    </w:p>
    <w:p>
      <w:pPr>
        <w:spacing w:before="0" w:after="0" w:line="408" w:lineRule="exact"/>
        <w:ind w:left="0" w:right="0" w:firstLine="576"/>
        <w:jc w:val="left"/>
      </w:pPr>
      <w:r>
        <w:rPr/>
        <w:t xml:space="preserve">If an area having a population greater than fifteen percent, or areas with a combined population of greater than twenty-five percent of the population of the existing public transportation benefit area as constituted at the last review meeting, annex to the public transportation benefit area, or if an area is added under RCW 36.57A.140(2), the representatives of the component county and cities shall meet within ninety days to review and change the composition of the governing body, if the change is deemed appropriate. This meeting is in addition to the regular four-year review meeting and shall be conducted pursuant to the same notice requirement and quorum provisions of the regular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4f8e6e5927d340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b1b676d5d4a3f" /><Relationship Type="http://schemas.openxmlformats.org/officeDocument/2006/relationships/footer" Target="/word/footer.xml" Id="R4f8e6e5927d340dd" /></Relationships>
</file>