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61ef30f6bb42c1" /></Relationships>
</file>

<file path=word/document.xml><?xml version="1.0" encoding="utf-8"?>
<w:document xmlns:w="http://schemas.openxmlformats.org/wordprocessingml/2006/main">
  <w:body>
    <w:p>
      <w:r>
        <w:t>H-1040.2</w:t>
      </w:r>
    </w:p>
    <w:p>
      <w:pPr>
        <w:jc w:val="center"/>
      </w:pPr>
      <w:r>
        <w:t>_______________________________________________</w:t>
      </w:r>
    </w:p>
    <w:p/>
    <w:p>
      <w:pPr>
        <w:jc w:val="center"/>
      </w:pPr>
      <w:r>
        <w:rPr>
          <w:b/>
        </w:rPr>
        <w:t>HOUSE BILL 1872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Kretz, Blake, Short, Kraft, Haler, and Shea</w:t>
      </w:r>
    </w:p>
    <w:p/>
    <w:p>
      <w:r>
        <w:rPr>
          <w:t xml:space="preserve">Read first time 02/01/17.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partial delisting of the gray wolf by the fish and wildlife commission; amending RCW 77.12.020; adding a new section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recovery and integration of gray wolves into society has been challenging. The wolf conservation and management plan, set up with good intentions years ago, has resulted in significant recovery in certain parts of the state. However, the level of recovery has had a disproportionate impact on certain communities where wolf recovery has been the most robust.</w:t>
      </w:r>
    </w:p>
    <w:p>
      <w:pPr>
        <w:spacing w:before="0" w:after="0" w:line="408" w:lineRule="exact"/>
        <w:ind w:left="0" w:right="0" w:firstLine="576"/>
        <w:jc w:val="left"/>
      </w:pPr>
      <w:r>
        <w:rPr/>
        <w:t xml:space="preserve">(b) For example, as of June 2016 the primary ranges of seventeen out of the nineteen wolf packs known and documented by the department of fish and wildlife in Washington were concentrated in four counties in the north-central and eastern portions of Washington. Currently, management options in those areas are limited due to the statewide endangered status of gray wolves and the current approach is not working.</w:t>
      </w:r>
    </w:p>
    <w:p>
      <w:pPr>
        <w:spacing w:before="0" w:after="0" w:line="408" w:lineRule="exact"/>
        <w:ind w:left="0" w:right="0" w:firstLine="576"/>
        <w:jc w:val="left"/>
      </w:pPr>
      <w:r>
        <w:rPr/>
        <w:t xml:space="preserve">(2) In order for wolf recovery to be successful, the state must have the resources to deal with conflicts in areas where dense populations occur. Furthermore, the state needs to implement effective management tools to promote societal acceptance where populations are thriving.</w:t>
      </w:r>
    </w:p>
    <w:p>
      <w:pPr>
        <w:spacing w:before="0" w:after="0" w:line="408" w:lineRule="exact"/>
        <w:ind w:left="0" w:right="0" w:firstLine="576"/>
        <w:jc w:val="left"/>
      </w:pPr>
      <w:r>
        <w:rPr/>
        <w:t xml:space="preserve">(3) The legislature intends to equip the state to manage gray wolves effectively with the goal of balancing continued recovery with more active conflict management in areas that have experienced the greatest negative impacts as a result of wolf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w:t>
      </w:r>
      <w:r>
        <w:rPr>
          <w:u w:val="single"/>
        </w:rPr>
        <w:t xml:space="preserve">Except as provided in section 3 of this act, t</w:t>
      </w:r>
      <w:r>
        <w:rPr/>
        <w:t xml:space="preserve">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w:t>
      </w:r>
      <w:r>
        <w:rPr>
          <w:u w:val="single"/>
        </w:rPr>
        <w:t xml:space="preserve">Except as provided in section 3 of this act, t</w:t>
      </w:r>
      <w:r>
        <w:rPr/>
        <w:t xml:space="preserve">he commission may designate an endangered species.</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commission may not designate or maintain a designation for the gray wolf, </w:t>
      </w:r>
      <w:r>
        <w:rPr>
          <w:i/>
        </w:rPr>
        <w:t xml:space="preserve">Canis lupus</w:t>
      </w:r>
      <w:r>
        <w:rPr/>
        <w:t xml:space="preserve">, as an endangered, threatened, or sensitive species under RCW 77.12.020, or the rules adopted under RCW 77.12.020, in any Washington county east of the crest of the Cascade mountains that shares a border with Canada.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and wildlife commission must immediately commence rule making to amend all applicable rules, as they existed on the effective date of this section, in order to conform with the requirements of section 3 of this act.</w:t>
      </w:r>
    </w:p>
    <w:p/>
    <w:p>
      <w:pPr>
        <w:jc w:val="center"/>
      </w:pPr>
      <w:r>
        <w:rPr>
          <w:b/>
        </w:rPr>
        <w:t>--- END ---</w:t>
      </w:r>
    </w:p>
    <w:sectPr>
      <w:pgNumType w:start="1"/>
      <w:footerReference xmlns:r="http://schemas.openxmlformats.org/officeDocument/2006/relationships" r:id="R89bdbb7c226e46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2a2823602432e" /><Relationship Type="http://schemas.openxmlformats.org/officeDocument/2006/relationships/footer" Target="/word/footer.xml" Id="R89bdbb7c226e46c2" /></Relationships>
</file>