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1cfbab3c7484d" /></Relationships>
</file>

<file path=word/document.xml><?xml version="1.0" encoding="utf-8"?>
<w:document xmlns:w="http://schemas.openxmlformats.org/wordprocessingml/2006/main">
  <w:body>
    <w:p>
      <w:r>
        <w:t>H-1300.1</w:t>
      </w:r>
    </w:p>
    <w:p>
      <w:pPr>
        <w:jc w:val="center"/>
      </w:pPr>
      <w:r>
        <w:t>_______________________________________________</w:t>
      </w:r>
    </w:p>
    <w:p/>
    <w:p>
      <w:pPr>
        <w:jc w:val="center"/>
      </w:pPr>
      <w:r>
        <w:rPr>
          <w:b/>
        </w:rPr>
        <w:t>HOUSE BILL 1880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Lovick, Lytton, Kloba, Doglio, Pollet, and Ormsby</w:t>
      </w:r>
    </w:p>
    <w:p/>
    <w:p>
      <w:r>
        <w:rPr>
          <w:t xml:space="preserve">Read first time 02/01/17.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feminine hygiene products for individuals receiving public assistance;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feminine hygiene products are a necessity for many people in this state and are essential to the dignity, hygiene, and good health of those who use them. The legislature further finds that the imposition of a sales and use tax on these products is regressive and disproportionately affects low-income persons who need to purchase these products. Therefore, the legislature intends to provide a permanent sales and use tax exemption for the purchase by low-income people of feminine hygiene products.</w:t>
      </w:r>
    </w:p>
    <w:p>
      <w:pPr>
        <w:spacing w:before="0" w:after="0" w:line="408" w:lineRule="exact"/>
        <w:ind w:left="0" w:right="0" w:firstLine="576"/>
        <w:jc w:val="left"/>
      </w:pPr>
      <w:r>
        <w:rPr/>
        <w:t xml:space="preserve">(2)(a) This subsection is the tax preference performance statement for tax preferences provided in sections 2 and 3 of this act. The performance statement is only intended to be used for subsequent evaluation of the tax preference.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(b) The legislature categorizes these tax preferences as ones intended to provide tax relief for certain individuals as indicated in RCW 82.32.808(2)(e).</w:t>
      </w:r>
    </w:p>
    <w:p>
      <w:pPr>
        <w:spacing w:before="0" w:after="0" w:line="408" w:lineRule="exact"/>
        <w:ind w:left="0" w:right="0" w:firstLine="576"/>
        <w:jc w:val="left"/>
      </w:pPr>
      <w:r>
        <w:rPr/>
        <w:t xml:space="preserve">(c) It is the legislature's specific public policy objective to authorize a permanent sales and use tax exemption for the purchase of feminine hygiene products by low-income people to reduce the tax burden on low-income people for a product that is critical to maintain personal hygiene and health.</w:t>
      </w:r>
    </w:p>
    <w:p>
      <w:pPr>
        <w:spacing w:before="0" w:after="0" w:line="408" w:lineRule="exact"/>
        <w:ind w:left="0" w:right="0" w:firstLine="576"/>
        <w:jc w:val="left"/>
      </w:pPr>
      <w:r>
        <w:rPr/>
        <w:t xml:space="preserve">(d) The joint legislative audit and review committee is not required to include the tax preferences authorized in sections 2 and 3 of this act as part of its normal review process of tax preferences. The tax preferences authorized in sections 2 and 3 of this act must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 by an eligible purchaser.</w:t>
      </w:r>
    </w:p>
    <w:p>
      <w:pPr>
        <w:spacing w:before="0" w:after="0" w:line="408" w:lineRule="exact"/>
        <w:ind w:left="0" w:right="0" w:firstLine="576"/>
        <w:jc w:val="left"/>
      </w:pPr>
      <w:r>
        <w:rPr/>
        <w:t xml:space="preserve">(2) In order to qualify for the exemption under this section, an eligible purchaser must present the following at the point of sale:</w:t>
      </w:r>
    </w:p>
    <w:p>
      <w:pPr>
        <w:spacing w:before="0" w:after="0" w:line="408" w:lineRule="exact"/>
        <w:ind w:left="0" w:right="0" w:firstLine="576"/>
        <w:jc w:val="left"/>
      </w:pPr>
      <w:r>
        <w:rPr/>
        <w:t xml:space="preserve">(a) An electronic benefit card in his or her name; and</w:t>
      </w:r>
    </w:p>
    <w:p>
      <w:pPr>
        <w:spacing w:before="0" w:after="0" w:line="408" w:lineRule="exact"/>
        <w:ind w:left="0" w:right="0" w:firstLine="576"/>
        <w:jc w:val="left"/>
      </w:pPr>
      <w:r>
        <w:rPr/>
        <w:t xml:space="preserve">(b) A driver's license or other proof of identity.</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purchaser" means a person receiving public assistance as defined under RCW 74.08.025.</w:t>
      </w:r>
    </w:p>
    <w:p>
      <w:pPr>
        <w:spacing w:before="0" w:after="0" w:line="408" w:lineRule="exact"/>
        <w:ind w:left="0" w:right="0" w:firstLine="576"/>
        <w:jc w:val="left"/>
      </w:pPr>
      <w:r>
        <w:rPr/>
        <w:t xml:space="preserve">(b) "Feminine hygiene products" means sanitary napkins, tampons, menstrual cups, or any other similar product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 by an eligible purchaser.</w:t>
      </w:r>
    </w:p>
    <w:p>
      <w:pPr>
        <w:spacing w:before="0" w:after="0" w:line="408" w:lineRule="exact"/>
        <w:ind w:left="0" w:right="0" w:firstLine="576"/>
        <w:jc w:val="left"/>
      </w:pPr>
      <w:r>
        <w:rPr/>
        <w:t xml:space="preserve">(2) The definitions, terms, and conditions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0e0bab11b8f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362f7ef0a43ef" /><Relationship Type="http://schemas.openxmlformats.org/officeDocument/2006/relationships/footer" Target="/word/footer.xml" Id="R90e0bab11b8f4eb7" /></Relationships>
</file>